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197" w:type="dxa"/>
        <w:tblInd w:w="-702" w:type="dxa"/>
        <w:tblLayout w:type="fixed"/>
        <w:tblLook w:val="04A0" w:firstRow="1" w:lastRow="0" w:firstColumn="1" w:lastColumn="0" w:noHBand="0" w:noVBand="1"/>
      </w:tblPr>
      <w:tblGrid>
        <w:gridCol w:w="1892"/>
        <w:gridCol w:w="6005"/>
        <w:gridCol w:w="6300"/>
      </w:tblGrid>
      <w:tr w:rsidR="003225D4" w:rsidTr="003225D4">
        <w:tc>
          <w:tcPr>
            <w:tcW w:w="1892" w:type="dxa"/>
          </w:tcPr>
          <w:p w:rsidR="003225D4" w:rsidRDefault="003225D4" w:rsidP="00D67F74">
            <w:r>
              <w:t>Time/Rooms</w:t>
            </w:r>
          </w:p>
        </w:tc>
        <w:tc>
          <w:tcPr>
            <w:tcW w:w="6005" w:type="dxa"/>
          </w:tcPr>
          <w:p w:rsidR="003225D4" w:rsidRDefault="003225D4" w:rsidP="00D67F74">
            <w:r>
              <w:t>Room A</w:t>
            </w:r>
          </w:p>
        </w:tc>
        <w:tc>
          <w:tcPr>
            <w:tcW w:w="6300" w:type="dxa"/>
          </w:tcPr>
          <w:p w:rsidR="003225D4" w:rsidRDefault="003225D4" w:rsidP="00AE29AB">
            <w:r>
              <w:t>Room 13.1</w:t>
            </w:r>
          </w:p>
        </w:tc>
      </w:tr>
      <w:tr w:rsidR="003225D4" w:rsidTr="003225D4">
        <w:tc>
          <w:tcPr>
            <w:tcW w:w="14197" w:type="dxa"/>
            <w:gridSpan w:val="3"/>
          </w:tcPr>
          <w:p w:rsidR="003225D4" w:rsidRPr="00065B29" w:rsidRDefault="003225D4" w:rsidP="00D67F74">
            <w:pPr>
              <w:jc w:val="center"/>
              <w:rPr>
                <w:sz w:val="32"/>
                <w:szCs w:val="32"/>
              </w:rPr>
            </w:pPr>
            <w:r w:rsidRPr="00065B29">
              <w:rPr>
                <w:b/>
                <w:sz w:val="32"/>
                <w:szCs w:val="32"/>
              </w:rPr>
              <w:t>Monday 25 April</w:t>
            </w:r>
          </w:p>
        </w:tc>
      </w:tr>
      <w:tr w:rsidR="003225D4" w:rsidTr="00D70C1B">
        <w:tc>
          <w:tcPr>
            <w:tcW w:w="1892" w:type="dxa"/>
          </w:tcPr>
          <w:p w:rsidR="003225D4" w:rsidRDefault="003225D4" w:rsidP="00D67F74">
            <w:r>
              <w:t>9:00 – 9:30</w:t>
            </w:r>
          </w:p>
        </w:tc>
        <w:tc>
          <w:tcPr>
            <w:tcW w:w="12305" w:type="dxa"/>
            <w:gridSpan w:val="2"/>
          </w:tcPr>
          <w:p w:rsidR="003225D4" w:rsidRDefault="003225D4" w:rsidP="008C6A6B">
            <w:r>
              <w:t>EPE Opening Remarks:</w:t>
            </w:r>
          </w:p>
          <w:p w:rsidR="003225D4" w:rsidRDefault="003225D4" w:rsidP="008C6A6B">
            <w:r w:rsidRPr="00961B83">
              <w:rPr>
                <w:u w:val="single"/>
              </w:rPr>
              <w:t>Speaker</w:t>
            </w:r>
            <w:r>
              <w:rPr>
                <w:u w:val="single"/>
              </w:rPr>
              <w:t>s</w:t>
            </w:r>
            <w:r>
              <w:t xml:space="preserve">:  </w:t>
            </w:r>
          </w:p>
          <w:p w:rsidR="003225D4" w:rsidRDefault="003225D4" w:rsidP="00961B83">
            <w:pPr>
              <w:pStyle w:val="ListParagraph"/>
              <w:numPr>
                <w:ilvl w:val="0"/>
                <w:numId w:val="14"/>
              </w:numPr>
            </w:pPr>
            <w:r w:rsidRPr="0094247A">
              <w:t>Francis Gurry</w:t>
            </w:r>
            <w:r>
              <w:t>, WIPO Director</w:t>
            </w:r>
          </w:p>
          <w:p w:rsidR="003225D4" w:rsidRDefault="003225D4" w:rsidP="00D67F74">
            <w:pPr>
              <w:pStyle w:val="ListParagraph"/>
              <w:numPr>
                <w:ilvl w:val="0"/>
                <w:numId w:val="14"/>
              </w:numPr>
            </w:pPr>
            <w:r>
              <w:t xml:space="preserve">Colin Kirk, Director Evaluation Office, UNICEF </w:t>
            </w:r>
          </w:p>
        </w:tc>
      </w:tr>
      <w:tr w:rsidR="003225D4" w:rsidTr="003225D4">
        <w:trPr>
          <w:trHeight w:val="613"/>
        </w:trPr>
        <w:tc>
          <w:tcPr>
            <w:tcW w:w="1892" w:type="dxa"/>
          </w:tcPr>
          <w:p w:rsidR="003225D4" w:rsidRDefault="003225D4" w:rsidP="00D67F74">
            <w:r>
              <w:t>9:30 – 10:00</w:t>
            </w:r>
          </w:p>
        </w:tc>
        <w:tc>
          <w:tcPr>
            <w:tcW w:w="6005" w:type="dxa"/>
          </w:tcPr>
          <w:p w:rsidR="003225D4" w:rsidRPr="00961B83" w:rsidRDefault="003225D4" w:rsidP="002F336A">
            <w:pPr>
              <w:rPr>
                <w:b/>
              </w:rPr>
            </w:pPr>
            <w:r w:rsidRPr="00961B83">
              <w:rPr>
                <w:b/>
              </w:rPr>
              <w:t>Humanitarian Stream: Strategic Issues around Humanitarian Evaluation and SDGs</w:t>
            </w:r>
          </w:p>
          <w:p w:rsidR="003225D4" w:rsidRDefault="003225D4" w:rsidP="0006642F">
            <w:pPr>
              <w:jc w:val="both"/>
              <w:rPr>
                <w:u w:val="single"/>
              </w:rPr>
            </w:pPr>
          </w:p>
          <w:p w:rsidR="003225D4" w:rsidRDefault="003225D4" w:rsidP="0006642F">
            <w:pPr>
              <w:jc w:val="both"/>
            </w:pPr>
            <w:r w:rsidRPr="00961B83">
              <w:rPr>
                <w:u w:val="single"/>
              </w:rPr>
              <w:t xml:space="preserve">Opening </w:t>
            </w:r>
            <w:r>
              <w:rPr>
                <w:u w:val="single"/>
              </w:rPr>
              <w:t>Panel</w:t>
            </w:r>
            <w:r>
              <w:t xml:space="preserve">: </w:t>
            </w:r>
          </w:p>
          <w:p w:rsidR="003225D4" w:rsidRDefault="003225D4" w:rsidP="004765C3">
            <w:pPr>
              <w:pStyle w:val="ListParagraph"/>
              <w:numPr>
                <w:ilvl w:val="0"/>
                <w:numId w:val="23"/>
              </w:numPr>
              <w:jc w:val="both"/>
            </w:pPr>
            <w:r>
              <w:t>Introduction and agenda of the day, Helen Wedgwood, Director Evaluation WFP</w:t>
            </w:r>
          </w:p>
          <w:p w:rsidR="003225D4" w:rsidRDefault="003225D4" w:rsidP="004765C3">
            <w:pPr>
              <w:pStyle w:val="ListParagraph"/>
              <w:numPr>
                <w:ilvl w:val="0"/>
                <w:numId w:val="23"/>
              </w:numPr>
              <w:jc w:val="both"/>
            </w:pPr>
            <w:r>
              <w:t xml:space="preserve">The SDGs and implications for humanitarian action with a specific focus on country-led humanitarian and development process and the implications for humanitarian assistance, Colin Kirk, Director Evaluation, UNICEF </w:t>
            </w:r>
          </w:p>
          <w:p w:rsidR="003225D4" w:rsidRDefault="003225D4" w:rsidP="004765C3">
            <w:pPr>
              <w:pStyle w:val="ListParagraph"/>
              <w:numPr>
                <w:ilvl w:val="0"/>
                <w:numId w:val="23"/>
              </w:numPr>
              <w:jc w:val="both"/>
            </w:pPr>
            <w:r>
              <w:t xml:space="preserve">New expectations about evidence : SG report for the World Humanitarian Summit (WHS),  Ewen MacLeod, </w:t>
            </w:r>
            <w:r>
              <w:rPr>
                <w:lang w:val="en-US"/>
              </w:rPr>
              <w:t xml:space="preserve">Head Policy Development and Evaluation Service </w:t>
            </w:r>
            <w:r>
              <w:t>UNHCR</w:t>
            </w:r>
          </w:p>
          <w:p w:rsidR="003225D4" w:rsidRDefault="003225D4" w:rsidP="004765C3">
            <w:pPr>
              <w:pStyle w:val="ListParagraph"/>
              <w:numPr>
                <w:ilvl w:val="0"/>
                <w:numId w:val="23"/>
              </w:numPr>
            </w:pPr>
            <w:r>
              <w:t>Preliminary key lessons learned from major Inter-Agency Humanitarian Evaluations ahead of the World Humanitarian Summit (May 2016), Victoria Saiz-Omenaca Evaluation, OCHA</w:t>
            </w:r>
          </w:p>
        </w:tc>
        <w:tc>
          <w:tcPr>
            <w:tcW w:w="6300" w:type="dxa"/>
            <w:vMerge w:val="restart"/>
          </w:tcPr>
          <w:p w:rsidR="003225D4" w:rsidRPr="00961B83" w:rsidRDefault="003225D4" w:rsidP="00525143">
            <w:pPr>
              <w:rPr>
                <w:b/>
              </w:rPr>
            </w:pPr>
            <w:r w:rsidRPr="00961B83">
              <w:rPr>
                <w:b/>
              </w:rPr>
              <w:t>No one left behind: Equity and Equality</w:t>
            </w:r>
          </w:p>
          <w:p w:rsidR="003225D4" w:rsidRDefault="003225D4" w:rsidP="00525143">
            <w:r w:rsidRPr="00961B83">
              <w:rPr>
                <w:u w:val="single"/>
              </w:rPr>
              <w:t>Opening Speaker</w:t>
            </w:r>
            <w:r>
              <w:t>: Maria Bustelo, Dean Delegate for Gender Equality, Universidad Complutense de Madrid</w:t>
            </w:r>
          </w:p>
          <w:p w:rsidR="003225D4" w:rsidRDefault="003225D4" w:rsidP="00525143"/>
          <w:p w:rsidR="003225D4" w:rsidRPr="00961B83" w:rsidRDefault="003225D4" w:rsidP="00525143">
            <w:pPr>
              <w:rPr>
                <w:u w:val="single"/>
              </w:rPr>
            </w:pPr>
            <w:r w:rsidRPr="00961B83">
              <w:rPr>
                <w:u w:val="single"/>
              </w:rPr>
              <w:t>Fish Bowl</w:t>
            </w:r>
          </w:p>
          <w:p w:rsidR="003225D4" w:rsidRDefault="003225D4" w:rsidP="00D039C3">
            <w:pPr>
              <w:pStyle w:val="ListParagraph"/>
              <w:numPr>
                <w:ilvl w:val="0"/>
                <w:numId w:val="18"/>
              </w:numPr>
              <w:jc w:val="both"/>
            </w:pPr>
            <w:r>
              <w:t>Main elements of the evaluation of UNDP’S contribution to gender equality and women’s empowerment during the 2008-2013 period Oanh Nguyen and/or Roberto LaRovere, UNDP</w:t>
            </w:r>
          </w:p>
          <w:p w:rsidR="003225D4" w:rsidRPr="00C61F47" w:rsidRDefault="003225D4" w:rsidP="00D039C3">
            <w:pPr>
              <w:pStyle w:val="ListParagraph"/>
              <w:numPr>
                <w:ilvl w:val="0"/>
                <w:numId w:val="18"/>
              </w:numPr>
              <w:jc w:val="both"/>
              <w:rPr>
                <w:lang w:val="en-US"/>
              </w:rPr>
            </w:pPr>
            <w:r>
              <w:t xml:space="preserve">Evaluating Social Equity in FAO Country Programmes, case studies: Guatemala and Myanmar, </w:t>
            </w:r>
            <w:r w:rsidRPr="00C61F47">
              <w:rPr>
                <w:lang w:val="en-US"/>
              </w:rPr>
              <w:t>Luisa Belli and Natalia Acosta, FAO</w:t>
            </w:r>
          </w:p>
          <w:p w:rsidR="003225D4" w:rsidRDefault="003225D4" w:rsidP="00D039C3">
            <w:pPr>
              <w:pStyle w:val="ListParagraph"/>
              <w:numPr>
                <w:ilvl w:val="0"/>
                <w:numId w:val="18"/>
              </w:numPr>
              <w:jc w:val="both"/>
            </w:pPr>
            <w:r>
              <w:t>Good practices in integrating human rights and gender approaches into evaluation, Sabas Monroy, OHCHR</w:t>
            </w:r>
          </w:p>
          <w:p w:rsidR="003225D4" w:rsidRDefault="003225D4" w:rsidP="00D039C3">
            <w:pPr>
              <w:pStyle w:val="ListParagraph"/>
              <w:numPr>
                <w:ilvl w:val="0"/>
                <w:numId w:val="18"/>
              </w:numPr>
              <w:jc w:val="both"/>
            </w:pPr>
            <w:r>
              <w:t>Launching impact evaluations of a multi-country programme covering Afghanistan, India and Pakistan aimed at reducing child marriage and adolescents pregnancies and increasing secondary school enrolment, Urs Nagel, UNICEF</w:t>
            </w:r>
          </w:p>
          <w:p w:rsidR="003225D4" w:rsidRDefault="003225D4" w:rsidP="00D039C3">
            <w:pPr>
              <w:pStyle w:val="ListParagraph"/>
              <w:numPr>
                <w:ilvl w:val="0"/>
                <w:numId w:val="18"/>
              </w:numPr>
              <w:spacing w:after="160" w:line="256" w:lineRule="auto"/>
            </w:pPr>
            <w:r>
              <w:t>E</w:t>
            </w:r>
            <w:r w:rsidRPr="00F27B9A">
              <w:t xml:space="preserve">valuation syntheses on IFAD's interventions with Indigenous Peoples and with Pastoralists, Miguel Torralba, </w:t>
            </w:r>
            <w:r>
              <w:t>IFAD</w:t>
            </w:r>
          </w:p>
          <w:p w:rsidR="003225D4" w:rsidRPr="0006642F" w:rsidRDefault="003225D4" w:rsidP="00D67F74">
            <w:pPr>
              <w:rPr>
                <w:lang w:val="en-GB"/>
              </w:rPr>
            </w:pPr>
          </w:p>
        </w:tc>
      </w:tr>
      <w:tr w:rsidR="003225D4" w:rsidTr="003225D4">
        <w:tc>
          <w:tcPr>
            <w:tcW w:w="1892" w:type="dxa"/>
          </w:tcPr>
          <w:p w:rsidR="003225D4" w:rsidRDefault="003225D4" w:rsidP="00842EBC">
            <w:r>
              <w:t>10:00 – 11:00</w:t>
            </w:r>
          </w:p>
        </w:tc>
        <w:tc>
          <w:tcPr>
            <w:tcW w:w="6005" w:type="dxa"/>
          </w:tcPr>
          <w:p w:rsidR="003225D4" w:rsidRDefault="003225D4" w:rsidP="00842EBC">
            <w:r w:rsidRPr="00961B83">
              <w:rPr>
                <w:b/>
              </w:rPr>
              <w:t xml:space="preserve">Humanitarian Stream: Syria Coordinated Accountability </w:t>
            </w:r>
            <w:r>
              <w:rPr>
                <w:b/>
              </w:rPr>
              <w:t>&amp;</w:t>
            </w:r>
            <w:r w:rsidRPr="00961B83">
              <w:rPr>
                <w:b/>
              </w:rPr>
              <w:t xml:space="preserve"> Lessons Learned (CALL)</w:t>
            </w:r>
            <w:r>
              <w:t xml:space="preserve"> </w:t>
            </w:r>
            <w:r w:rsidRPr="003D6940">
              <w:t xml:space="preserve"> </w:t>
            </w:r>
            <w:r w:rsidRPr="0055367D">
              <w:rPr>
                <w:b/>
              </w:rPr>
              <w:t>Initiative:</w:t>
            </w:r>
            <w:r w:rsidRPr="003D6940">
              <w:t xml:space="preserve"> Results from the </w:t>
            </w:r>
            <w:r>
              <w:t xml:space="preserve">Evaluation </w:t>
            </w:r>
            <w:r w:rsidRPr="003D6940">
              <w:t xml:space="preserve"> Synthesis and Gap Analysis </w:t>
            </w:r>
            <w:r>
              <w:rPr>
                <w:b/>
              </w:rPr>
              <w:t xml:space="preserve">  </w:t>
            </w:r>
          </w:p>
          <w:p w:rsidR="003225D4" w:rsidRDefault="003225D4" w:rsidP="0006642F">
            <w:pPr>
              <w:jc w:val="both"/>
            </w:pPr>
            <w:r>
              <w:rPr>
                <w:u w:val="single"/>
              </w:rPr>
              <w:t>Chair</w:t>
            </w:r>
            <w:r>
              <w:t xml:space="preserve">:  Helen Wedgwood (WFP)  in coordination with UNICEF, OCHA, UNHCR and ALNAP </w:t>
            </w:r>
          </w:p>
          <w:p w:rsidR="003225D4" w:rsidRDefault="003225D4" w:rsidP="0055367D">
            <w:pPr>
              <w:spacing w:before="120"/>
              <w:jc w:val="both"/>
            </w:pPr>
            <w:r>
              <w:rPr>
                <w:u w:val="single"/>
              </w:rPr>
              <w:t xml:space="preserve">Presenters: </w:t>
            </w:r>
            <w:r>
              <w:t>James Darcy, Senior Evaluator and Julia Betts, Senior Evaluator.</w:t>
            </w:r>
          </w:p>
        </w:tc>
        <w:tc>
          <w:tcPr>
            <w:tcW w:w="6300" w:type="dxa"/>
            <w:vMerge/>
          </w:tcPr>
          <w:p w:rsidR="003225D4" w:rsidRPr="002E0B64" w:rsidRDefault="003225D4" w:rsidP="00842EBC"/>
        </w:tc>
      </w:tr>
      <w:tr w:rsidR="003225D4" w:rsidRPr="007435B4" w:rsidTr="003225D4">
        <w:tc>
          <w:tcPr>
            <w:tcW w:w="1892" w:type="dxa"/>
          </w:tcPr>
          <w:p w:rsidR="003225D4" w:rsidRPr="007435B4" w:rsidRDefault="003225D4" w:rsidP="0021365C">
            <w:pPr>
              <w:jc w:val="center"/>
              <w:rPr>
                <w:b/>
              </w:rPr>
            </w:pPr>
            <w:r>
              <w:rPr>
                <w:b/>
              </w:rPr>
              <w:t>11</w:t>
            </w:r>
            <w:r w:rsidRPr="007435B4">
              <w:rPr>
                <w:b/>
              </w:rPr>
              <w:t>:</w:t>
            </w:r>
            <w:r>
              <w:rPr>
                <w:b/>
              </w:rPr>
              <w:t>00 – 11:3</w:t>
            </w:r>
            <w:r w:rsidRPr="007435B4">
              <w:rPr>
                <w:b/>
              </w:rPr>
              <w:t>0</w:t>
            </w:r>
          </w:p>
        </w:tc>
        <w:tc>
          <w:tcPr>
            <w:tcW w:w="12305" w:type="dxa"/>
            <w:gridSpan w:val="2"/>
          </w:tcPr>
          <w:p w:rsidR="003225D4" w:rsidRPr="007435B4" w:rsidRDefault="003225D4" w:rsidP="00842EBC">
            <w:pPr>
              <w:jc w:val="center"/>
              <w:rPr>
                <w:b/>
              </w:rPr>
            </w:pPr>
            <w:r w:rsidRPr="007435B4">
              <w:rPr>
                <w:b/>
              </w:rPr>
              <w:t>COFFEE BREAK</w:t>
            </w:r>
          </w:p>
        </w:tc>
      </w:tr>
      <w:tr w:rsidR="003225D4" w:rsidTr="003225D4">
        <w:trPr>
          <w:trHeight w:val="881"/>
        </w:trPr>
        <w:tc>
          <w:tcPr>
            <w:tcW w:w="1892" w:type="dxa"/>
          </w:tcPr>
          <w:p w:rsidR="003225D4" w:rsidRDefault="003225D4" w:rsidP="00735651">
            <w:r>
              <w:lastRenderedPageBreak/>
              <w:t>11:30 – 12:30</w:t>
            </w:r>
          </w:p>
        </w:tc>
        <w:tc>
          <w:tcPr>
            <w:tcW w:w="6005" w:type="dxa"/>
          </w:tcPr>
          <w:p w:rsidR="003225D4" w:rsidRPr="00961B83" w:rsidRDefault="003225D4" w:rsidP="00735651">
            <w:pPr>
              <w:rPr>
                <w:b/>
              </w:rPr>
            </w:pPr>
            <w:r w:rsidRPr="00961B83">
              <w:rPr>
                <w:b/>
              </w:rPr>
              <w:t>Humanitarian stream: Ethics  and humanitarian principles  in Humanitarian Evaluation</w:t>
            </w:r>
          </w:p>
          <w:p w:rsidR="003225D4" w:rsidRDefault="003225D4" w:rsidP="0006642F">
            <w:pPr>
              <w:jc w:val="both"/>
            </w:pPr>
            <w:r>
              <w:rPr>
                <w:u w:val="single"/>
              </w:rPr>
              <w:t>Chair</w:t>
            </w:r>
            <w:r>
              <w:t xml:space="preserve">:  Anne-Claire Luzot (WFP) for the SO3 Humanitarian Evaluation Interest Group (HEIG) </w:t>
            </w:r>
          </w:p>
          <w:p w:rsidR="003225D4" w:rsidRDefault="003225D4" w:rsidP="0006642F">
            <w:pPr>
              <w:spacing w:before="120"/>
              <w:jc w:val="both"/>
            </w:pPr>
            <w:r>
              <w:rPr>
                <w:u w:val="single"/>
              </w:rPr>
              <w:t>Panel</w:t>
            </w:r>
            <w:r>
              <w:t>:</w:t>
            </w:r>
          </w:p>
          <w:p w:rsidR="003225D4" w:rsidRDefault="003225D4" w:rsidP="0006642F">
            <w:pPr>
              <w:pStyle w:val="ListParagraph"/>
              <w:numPr>
                <w:ilvl w:val="0"/>
                <w:numId w:val="8"/>
              </w:numPr>
            </w:pPr>
            <w:r>
              <w:t xml:space="preserve">Hugo Slim Head of Policy at the International Committee of the Red Cross </w:t>
            </w:r>
          </w:p>
          <w:p w:rsidR="003225D4" w:rsidRDefault="003225D4" w:rsidP="0006642F">
            <w:pPr>
              <w:pStyle w:val="ListParagraph"/>
              <w:numPr>
                <w:ilvl w:val="0"/>
                <w:numId w:val="8"/>
              </w:numPr>
            </w:pPr>
            <w:r>
              <w:t>Margie Buchanan-Smith, Independent consultant.</w:t>
            </w:r>
          </w:p>
          <w:p w:rsidR="003225D4" w:rsidRPr="0006642F" w:rsidRDefault="003225D4" w:rsidP="00735651">
            <w:pPr>
              <w:rPr>
                <w:lang w:val="en-GB"/>
              </w:rPr>
            </w:pPr>
          </w:p>
        </w:tc>
        <w:tc>
          <w:tcPr>
            <w:tcW w:w="6300" w:type="dxa"/>
          </w:tcPr>
          <w:p w:rsidR="003225D4" w:rsidRPr="00961B83" w:rsidRDefault="003225D4" w:rsidP="00475DCF">
            <w:pPr>
              <w:rPr>
                <w:b/>
              </w:rPr>
            </w:pPr>
            <w:r w:rsidRPr="00961B83">
              <w:rPr>
                <w:b/>
              </w:rPr>
              <w:t>No one Left Behind: Equity and Equality</w:t>
            </w:r>
          </w:p>
          <w:p w:rsidR="003225D4" w:rsidRDefault="003225D4" w:rsidP="00475DCF">
            <w:r>
              <w:t>Concluding presentation and Q&amp;A with public: Sabrina Evangelista, UN Women</w:t>
            </w:r>
          </w:p>
        </w:tc>
      </w:tr>
      <w:tr w:rsidR="003225D4" w:rsidRPr="007435B4" w:rsidTr="003225D4">
        <w:tc>
          <w:tcPr>
            <w:tcW w:w="1892" w:type="dxa"/>
          </w:tcPr>
          <w:p w:rsidR="003225D4" w:rsidRPr="007435B4" w:rsidRDefault="003225D4" w:rsidP="00842EBC">
            <w:pPr>
              <w:rPr>
                <w:b/>
              </w:rPr>
            </w:pPr>
            <w:r>
              <w:rPr>
                <w:b/>
              </w:rPr>
              <w:t>12:30 – 2:00pm</w:t>
            </w:r>
          </w:p>
        </w:tc>
        <w:tc>
          <w:tcPr>
            <w:tcW w:w="12305" w:type="dxa"/>
            <w:gridSpan w:val="2"/>
          </w:tcPr>
          <w:p w:rsidR="003225D4" w:rsidRPr="007435B4" w:rsidRDefault="003225D4" w:rsidP="00842EBC">
            <w:pPr>
              <w:jc w:val="center"/>
              <w:rPr>
                <w:b/>
              </w:rPr>
            </w:pPr>
            <w:r w:rsidRPr="007435B4">
              <w:rPr>
                <w:b/>
              </w:rPr>
              <w:t>LUNCH</w:t>
            </w:r>
          </w:p>
        </w:tc>
      </w:tr>
      <w:tr w:rsidR="003225D4" w:rsidTr="003225D4">
        <w:tc>
          <w:tcPr>
            <w:tcW w:w="1892" w:type="dxa"/>
          </w:tcPr>
          <w:p w:rsidR="003225D4" w:rsidRDefault="003225D4" w:rsidP="00842EBC">
            <w:r>
              <w:t>2:00 – 3:30pm</w:t>
            </w:r>
          </w:p>
        </w:tc>
        <w:tc>
          <w:tcPr>
            <w:tcW w:w="6005" w:type="dxa"/>
          </w:tcPr>
          <w:p w:rsidR="003225D4" w:rsidRPr="00961B83" w:rsidRDefault="003225D4" w:rsidP="000A1150">
            <w:pPr>
              <w:rPr>
                <w:b/>
              </w:rPr>
            </w:pPr>
            <w:r w:rsidRPr="00961B83">
              <w:rPr>
                <w:b/>
              </w:rPr>
              <w:t>Humanitarian stream: Use of Humanitarian Evaluation: Key challenges and possible solutions</w:t>
            </w:r>
          </w:p>
          <w:p w:rsidR="003225D4" w:rsidRDefault="003225D4" w:rsidP="004765C3">
            <w:pPr>
              <w:jc w:val="both"/>
            </w:pPr>
            <w:r>
              <w:rPr>
                <w:u w:val="single"/>
              </w:rPr>
              <w:t>Chair:</w:t>
            </w:r>
            <w:r>
              <w:t xml:space="preserve">   Marta Bruno (FAO) and Koorosh Raffii (UNICEF)</w:t>
            </w:r>
          </w:p>
          <w:p w:rsidR="003225D4" w:rsidRDefault="003225D4" w:rsidP="004765C3">
            <w:pPr>
              <w:jc w:val="both"/>
            </w:pPr>
          </w:p>
          <w:p w:rsidR="003225D4" w:rsidRDefault="003225D4" w:rsidP="004765C3">
            <w:pPr>
              <w:jc w:val="both"/>
            </w:pPr>
            <w:r>
              <w:rPr>
                <w:u w:val="single"/>
              </w:rPr>
              <w:t>Panel</w:t>
            </w:r>
            <w:r>
              <w:t>:</w:t>
            </w:r>
          </w:p>
          <w:p w:rsidR="003225D4" w:rsidRDefault="003225D4" w:rsidP="00C36B26">
            <w:pPr>
              <w:pStyle w:val="ListParagraph"/>
              <w:numPr>
                <w:ilvl w:val="0"/>
                <w:numId w:val="8"/>
              </w:numPr>
            </w:pPr>
            <w:r>
              <w:t>Margie Buchanan-Smith – utilization issues in EHA</w:t>
            </w:r>
          </w:p>
          <w:p w:rsidR="003225D4" w:rsidRDefault="003225D4" w:rsidP="00C36B26">
            <w:pPr>
              <w:pStyle w:val="ListParagraph"/>
              <w:numPr>
                <w:ilvl w:val="0"/>
                <w:numId w:val="8"/>
              </w:numPr>
            </w:pPr>
            <w:r>
              <w:t xml:space="preserve">Sandra Aviles, Sr. Advisor in Humanitarian Affairs, FAO Liaison Office </w:t>
            </w:r>
          </w:p>
          <w:p w:rsidR="003225D4" w:rsidRPr="00CC5F83" w:rsidRDefault="003225D4" w:rsidP="00C36B26">
            <w:pPr>
              <w:numPr>
                <w:ilvl w:val="0"/>
                <w:numId w:val="8"/>
              </w:numPr>
              <w:contextualSpacing/>
            </w:pPr>
            <w:r w:rsidRPr="00CC5F83">
              <w:t>Kevin Savage, Humanitarian Research Director, World Vision International</w:t>
            </w:r>
          </w:p>
          <w:p w:rsidR="003225D4" w:rsidRPr="00CC5F83" w:rsidRDefault="003225D4" w:rsidP="00C36B26">
            <w:pPr>
              <w:numPr>
                <w:ilvl w:val="0"/>
                <w:numId w:val="8"/>
              </w:numPr>
              <w:contextualSpacing/>
            </w:pPr>
            <w:r w:rsidRPr="00CC5F83">
              <w:t>Lori Bell and Krishna Belbase, Evaluation, UNICEF</w:t>
            </w:r>
          </w:p>
          <w:p w:rsidR="003225D4" w:rsidRPr="002E0B64" w:rsidRDefault="003225D4" w:rsidP="00842EBC"/>
        </w:tc>
        <w:tc>
          <w:tcPr>
            <w:tcW w:w="6300" w:type="dxa"/>
          </w:tcPr>
          <w:p w:rsidR="003225D4" w:rsidRPr="00961B83" w:rsidRDefault="003225D4" w:rsidP="00842EBC">
            <w:pPr>
              <w:rPr>
                <w:b/>
              </w:rPr>
            </w:pPr>
            <w:r w:rsidRPr="00961B83">
              <w:rPr>
                <w:b/>
              </w:rPr>
              <w:t>National Evaluation Capacity Development for Evaluation of SDGs &amp; Partnerships: Lessons and ways forward</w:t>
            </w:r>
          </w:p>
          <w:p w:rsidR="003225D4" w:rsidRDefault="003225D4" w:rsidP="00842EBC">
            <w:pPr>
              <w:rPr>
                <w:bCs/>
              </w:rPr>
            </w:pPr>
            <w:r w:rsidRPr="0006642F">
              <w:rPr>
                <w:u w:val="single"/>
              </w:rPr>
              <w:t>Chair:</w:t>
            </w:r>
            <w:r>
              <w:t xml:space="preserve"> </w:t>
            </w:r>
            <w:r>
              <w:rPr>
                <w:bCs/>
              </w:rPr>
              <w:t>Indran Naidoo, Director IEO, UNDP</w:t>
            </w:r>
          </w:p>
          <w:p w:rsidR="003225D4" w:rsidRDefault="003225D4" w:rsidP="00842EBC"/>
          <w:p w:rsidR="003225D4" w:rsidRDefault="003225D4" w:rsidP="00842EBC">
            <w:pPr>
              <w:rPr>
                <w:u w:val="single"/>
              </w:rPr>
            </w:pPr>
            <w:r w:rsidRPr="0006642F">
              <w:rPr>
                <w:u w:val="single"/>
              </w:rPr>
              <w:t>Panel</w:t>
            </w:r>
            <w:r>
              <w:rPr>
                <w:u w:val="single"/>
              </w:rPr>
              <w:t xml:space="preserve">: </w:t>
            </w:r>
          </w:p>
          <w:p w:rsidR="003225D4" w:rsidRDefault="003225D4" w:rsidP="00D039C3">
            <w:pPr>
              <w:pStyle w:val="ListParagraph"/>
              <w:numPr>
                <w:ilvl w:val="0"/>
                <w:numId w:val="19"/>
              </w:numPr>
              <w:contextualSpacing w:val="0"/>
            </w:pPr>
            <w:r>
              <w:t>Results from the NY Event on Evaluating SDGs with an equity and gender equality lens, Florencia Tateossian, UN Women</w:t>
            </w:r>
          </w:p>
          <w:p w:rsidR="003225D4" w:rsidRDefault="003225D4" w:rsidP="00D039C3">
            <w:pPr>
              <w:pStyle w:val="ListParagraph"/>
              <w:numPr>
                <w:ilvl w:val="0"/>
                <w:numId w:val="19"/>
              </w:numPr>
              <w:contextualSpacing w:val="0"/>
            </w:pPr>
            <w:r>
              <w:rPr>
                <w:bCs/>
              </w:rPr>
              <w:t xml:space="preserve">Lessons from NECD support experiences globally- How can experience inform capacity development in the context of the No One Left Behind Agenda </w:t>
            </w:r>
            <w:r>
              <w:t>Ada Ocampo, UNICEF</w:t>
            </w:r>
          </w:p>
          <w:p w:rsidR="003225D4" w:rsidRDefault="003225D4" w:rsidP="00D039C3">
            <w:pPr>
              <w:pStyle w:val="ListParagraph"/>
              <w:numPr>
                <w:ilvl w:val="0"/>
                <w:numId w:val="19"/>
              </w:numPr>
              <w:contextualSpacing w:val="0"/>
            </w:pPr>
            <w:r>
              <w:rPr>
                <w:bCs/>
              </w:rPr>
              <w:t xml:space="preserve">IFAD’s approach to NEC – Experiences from NEC support in Ethiopia and China, Johanna Pennarz </w:t>
            </w:r>
            <w:r>
              <w:t>IFAD</w:t>
            </w:r>
          </w:p>
          <w:p w:rsidR="003225D4" w:rsidRPr="00961B83" w:rsidRDefault="003225D4" w:rsidP="00D039C3">
            <w:pPr>
              <w:pStyle w:val="ListParagraph"/>
              <w:numPr>
                <w:ilvl w:val="0"/>
                <w:numId w:val="19"/>
              </w:numPr>
              <w:rPr>
                <w:u w:val="single"/>
              </w:rPr>
            </w:pPr>
            <w:r>
              <w:t>UNDP - Commitments from NEC conference: establishing a country level M&amp;E for SDGs</w:t>
            </w:r>
            <w:r>
              <w:rPr>
                <w:bCs/>
              </w:rPr>
              <w:t xml:space="preserve">, </w:t>
            </w:r>
            <w:r>
              <w:t>Roberto LaRovere, UNDP</w:t>
            </w:r>
          </w:p>
        </w:tc>
      </w:tr>
      <w:tr w:rsidR="003225D4" w:rsidRPr="007435B4" w:rsidTr="003225D4">
        <w:tc>
          <w:tcPr>
            <w:tcW w:w="1892" w:type="dxa"/>
          </w:tcPr>
          <w:p w:rsidR="003225D4" w:rsidRPr="007435B4" w:rsidRDefault="003225D4" w:rsidP="00842EBC">
            <w:pPr>
              <w:rPr>
                <w:b/>
              </w:rPr>
            </w:pPr>
            <w:r w:rsidRPr="007435B4">
              <w:rPr>
                <w:b/>
              </w:rPr>
              <w:t>3:30 – 4:00pm</w:t>
            </w:r>
          </w:p>
        </w:tc>
        <w:tc>
          <w:tcPr>
            <w:tcW w:w="12305" w:type="dxa"/>
            <w:gridSpan w:val="2"/>
          </w:tcPr>
          <w:p w:rsidR="003225D4" w:rsidRPr="007435B4" w:rsidRDefault="003225D4" w:rsidP="00842EBC">
            <w:pPr>
              <w:jc w:val="center"/>
              <w:rPr>
                <w:b/>
              </w:rPr>
            </w:pPr>
            <w:r w:rsidRPr="007435B4">
              <w:rPr>
                <w:b/>
              </w:rPr>
              <w:t>COFFEE BREAK</w:t>
            </w:r>
          </w:p>
        </w:tc>
      </w:tr>
      <w:tr w:rsidR="003225D4" w:rsidTr="003225D4">
        <w:trPr>
          <w:trHeight w:val="755"/>
        </w:trPr>
        <w:tc>
          <w:tcPr>
            <w:tcW w:w="1892" w:type="dxa"/>
          </w:tcPr>
          <w:p w:rsidR="003225D4" w:rsidRDefault="003225D4" w:rsidP="00842EBC">
            <w:r>
              <w:t>4:00 – 5:30pm</w:t>
            </w:r>
          </w:p>
        </w:tc>
        <w:tc>
          <w:tcPr>
            <w:tcW w:w="6005" w:type="dxa"/>
          </w:tcPr>
          <w:p w:rsidR="003225D4" w:rsidRPr="00961B83" w:rsidRDefault="003225D4" w:rsidP="000A1150">
            <w:pPr>
              <w:rPr>
                <w:b/>
              </w:rPr>
            </w:pPr>
            <w:r>
              <w:t xml:space="preserve"> </w:t>
            </w:r>
            <w:r w:rsidRPr="00961B83">
              <w:rPr>
                <w:b/>
              </w:rPr>
              <w:t xml:space="preserve">Humanitarian stream: Humanitarian Evaluation Methods </w:t>
            </w:r>
          </w:p>
          <w:p w:rsidR="003225D4" w:rsidRPr="0055367D" w:rsidRDefault="003225D4" w:rsidP="0006642F">
            <w:pPr>
              <w:jc w:val="both"/>
            </w:pPr>
            <w:r w:rsidRPr="0055367D">
              <w:rPr>
                <w:u w:val="single"/>
              </w:rPr>
              <w:t>Chair</w:t>
            </w:r>
            <w:r w:rsidRPr="0055367D">
              <w:t xml:space="preserve">: Marta Bruno (FAO) and Victoria Saiz-Omenaca (OCHA) </w:t>
            </w:r>
          </w:p>
          <w:p w:rsidR="003225D4" w:rsidRDefault="003225D4" w:rsidP="0006642F">
            <w:pPr>
              <w:pStyle w:val="ListParagraph"/>
              <w:spacing w:before="120"/>
              <w:ind w:left="360"/>
              <w:jc w:val="both"/>
            </w:pPr>
            <w:r>
              <w:rPr>
                <w:u w:val="single"/>
              </w:rPr>
              <w:t>Panel</w:t>
            </w:r>
            <w:r>
              <w:t xml:space="preserve">: </w:t>
            </w:r>
          </w:p>
          <w:p w:rsidR="003225D4" w:rsidRDefault="003225D4" w:rsidP="00857DEF">
            <w:pPr>
              <w:pStyle w:val="ListParagraph"/>
              <w:numPr>
                <w:ilvl w:val="0"/>
                <w:numId w:val="5"/>
              </w:numPr>
              <w:jc w:val="both"/>
            </w:pPr>
            <w:r>
              <w:t xml:space="preserve">Koorosh Raffii, Krishna Belbase and Lori Bell, UNICEF </w:t>
            </w:r>
          </w:p>
          <w:p w:rsidR="003225D4" w:rsidRDefault="003225D4" w:rsidP="00857DEF">
            <w:pPr>
              <w:pStyle w:val="ListParagraph"/>
              <w:numPr>
                <w:ilvl w:val="0"/>
                <w:numId w:val="5"/>
              </w:numPr>
              <w:jc w:val="both"/>
            </w:pPr>
            <w:r>
              <w:t>Martha Bruno and Margie Buchanan-Smith, FAO</w:t>
            </w:r>
          </w:p>
          <w:p w:rsidR="003225D4" w:rsidRPr="00FA134D" w:rsidRDefault="003225D4" w:rsidP="00857DEF">
            <w:pPr>
              <w:pStyle w:val="ListParagraph"/>
              <w:numPr>
                <w:ilvl w:val="0"/>
                <w:numId w:val="5"/>
              </w:numPr>
              <w:jc w:val="both"/>
              <w:rPr>
                <w:lang w:val="es-US"/>
              </w:rPr>
            </w:pPr>
            <w:r>
              <w:rPr>
                <w:lang w:val="es-US"/>
              </w:rPr>
              <w:t>Claudia Martinez Mansell, independent consultant</w:t>
            </w:r>
          </w:p>
          <w:p w:rsidR="003225D4" w:rsidRDefault="003225D4" w:rsidP="00857DEF">
            <w:pPr>
              <w:pStyle w:val="ListParagraph"/>
              <w:numPr>
                <w:ilvl w:val="0"/>
                <w:numId w:val="5"/>
              </w:numPr>
              <w:jc w:val="both"/>
            </w:pPr>
            <w:r>
              <w:lastRenderedPageBreak/>
              <w:t>Teresa Hanley, independent consultant</w:t>
            </w:r>
          </w:p>
          <w:p w:rsidR="003225D4" w:rsidRDefault="003225D4" w:rsidP="00857DEF">
            <w:pPr>
              <w:pStyle w:val="ListParagraph"/>
              <w:numPr>
                <w:ilvl w:val="0"/>
                <w:numId w:val="5"/>
              </w:numPr>
            </w:pPr>
            <w:r>
              <w:t xml:space="preserve">Machiel Salomons, UNHCR </w:t>
            </w:r>
          </w:p>
        </w:tc>
        <w:tc>
          <w:tcPr>
            <w:tcW w:w="6300" w:type="dxa"/>
          </w:tcPr>
          <w:p w:rsidR="003225D4" w:rsidRPr="00961B83" w:rsidRDefault="003225D4" w:rsidP="00961B83">
            <w:pPr>
              <w:rPr>
                <w:b/>
              </w:rPr>
            </w:pPr>
            <w:r w:rsidRPr="00961B83">
              <w:rPr>
                <w:b/>
              </w:rPr>
              <w:lastRenderedPageBreak/>
              <w:t>National Evaluation Capacity Development for Evaluation of SDGs &amp; Partnerships: Lessons and ways forward</w:t>
            </w:r>
          </w:p>
          <w:p w:rsidR="003225D4" w:rsidRPr="00961B83" w:rsidRDefault="003225D4" w:rsidP="00842EBC">
            <w:pPr>
              <w:rPr>
                <w:u w:val="single"/>
              </w:rPr>
            </w:pPr>
            <w:r w:rsidRPr="00961B83">
              <w:rPr>
                <w:u w:val="single"/>
              </w:rPr>
              <w:t>World Café</w:t>
            </w:r>
          </w:p>
          <w:p w:rsidR="003225D4" w:rsidRDefault="003225D4" w:rsidP="00F27B9A">
            <w:pPr>
              <w:pStyle w:val="ListParagraph"/>
              <w:numPr>
                <w:ilvl w:val="0"/>
                <w:numId w:val="3"/>
              </w:numPr>
            </w:pPr>
            <w:r w:rsidRPr="00C61F47">
              <w:t>How global and regional coordination mechanisms and partnerships can contribute to strengthening national review mechanisms</w:t>
            </w:r>
            <w:r>
              <w:t>,</w:t>
            </w:r>
            <w:r w:rsidRPr="00C61F47">
              <w:t xml:space="preserve"> </w:t>
            </w:r>
            <w:r w:rsidRPr="00961B83">
              <w:t xml:space="preserve">Martina </w:t>
            </w:r>
            <w:r>
              <w:t>Rathner</w:t>
            </w:r>
            <w:r w:rsidRPr="00961B83">
              <w:t>,</w:t>
            </w:r>
            <w:r>
              <w:rPr>
                <w:color w:val="1F497D"/>
              </w:rPr>
              <w:t xml:space="preserve"> </w:t>
            </w:r>
            <w:r>
              <w:t>UNESCO</w:t>
            </w:r>
          </w:p>
          <w:p w:rsidR="003225D4" w:rsidRDefault="003225D4" w:rsidP="00F27B9A">
            <w:pPr>
              <w:pStyle w:val="ListParagraph"/>
              <w:numPr>
                <w:ilvl w:val="0"/>
                <w:numId w:val="3"/>
              </w:numPr>
            </w:pPr>
            <w:r w:rsidRPr="00C61F47">
              <w:lastRenderedPageBreak/>
              <w:t xml:space="preserve">'Boutique approach' experience of UNODC to NEC by blending evaluation and substantive approaches to topics such as </w:t>
            </w:r>
            <w:r>
              <w:t xml:space="preserve">Terrorism, Organised Crime, </w:t>
            </w:r>
            <w:r w:rsidRPr="00961B83">
              <w:t>Adan Ruiz</w:t>
            </w:r>
            <w:r>
              <w:t xml:space="preserve"> , UNODC</w:t>
            </w:r>
          </w:p>
          <w:p w:rsidR="003225D4" w:rsidRDefault="003225D4" w:rsidP="00FC78ED">
            <w:pPr>
              <w:pStyle w:val="ListParagraph"/>
              <w:numPr>
                <w:ilvl w:val="0"/>
                <w:numId w:val="3"/>
              </w:numPr>
            </w:pPr>
            <w:r w:rsidRPr="00392BEA">
              <w:rPr>
                <w:rFonts w:ascii="Calibri" w:hAnsi="Calibri"/>
              </w:rPr>
              <w:t>ILOs experience in the capacity development of the tripartite (Workers, Employers and G</w:t>
            </w:r>
            <w:r>
              <w:rPr>
                <w:rFonts w:ascii="Calibri" w:hAnsi="Calibri"/>
              </w:rPr>
              <w:t xml:space="preserve">overnment) constituent partners, </w:t>
            </w:r>
            <w:r w:rsidRPr="00FC78ED">
              <w:rPr>
                <w:rFonts w:ascii="Calibri" w:hAnsi="Calibri"/>
              </w:rPr>
              <w:t>Craig Russon,</w:t>
            </w:r>
            <w:r>
              <w:rPr>
                <w:rFonts w:ascii="Calibri" w:hAnsi="Calibri"/>
              </w:rPr>
              <w:t xml:space="preserve"> ILO</w:t>
            </w:r>
          </w:p>
          <w:p w:rsidR="003225D4" w:rsidRDefault="003225D4" w:rsidP="00F27B9A">
            <w:pPr>
              <w:pStyle w:val="ListParagraph"/>
              <w:numPr>
                <w:ilvl w:val="0"/>
                <w:numId w:val="3"/>
              </w:numPr>
            </w:pPr>
            <w:r w:rsidRPr="00C61F47">
              <w:t>Professional development: forward looking opportunities</w:t>
            </w:r>
            <w:r>
              <w:rPr>
                <w:color w:val="1F497D"/>
              </w:rPr>
              <w:t xml:space="preserve"> </w:t>
            </w:r>
            <w:r>
              <w:t xml:space="preserve">Brook Boyer &amp; Elena Proden, UNITAR  </w:t>
            </w:r>
          </w:p>
          <w:p w:rsidR="003225D4" w:rsidRDefault="003225D4" w:rsidP="00F27B9A">
            <w:pPr>
              <w:pStyle w:val="ListParagraph"/>
              <w:numPr>
                <w:ilvl w:val="0"/>
                <w:numId w:val="3"/>
              </w:numPr>
            </w:pPr>
            <w:r w:rsidRPr="00C61F47">
              <w:t>Sustainable capacity strengthening approach to VOPEs: management, partnerships, fundraising, governance</w:t>
            </w:r>
            <w:r>
              <w:t xml:space="preserve">, </w:t>
            </w:r>
            <w:r w:rsidRPr="00961B83">
              <w:t>Inoussa Kabore</w:t>
            </w:r>
            <w:r>
              <w:t>, UNICEF</w:t>
            </w:r>
          </w:p>
          <w:p w:rsidR="003225D4" w:rsidRDefault="003225D4" w:rsidP="0012044A"/>
        </w:tc>
      </w:tr>
      <w:tr w:rsidR="003225D4" w:rsidTr="003225D4">
        <w:tc>
          <w:tcPr>
            <w:tcW w:w="1892" w:type="dxa"/>
          </w:tcPr>
          <w:p w:rsidR="003225D4" w:rsidRDefault="003225D4" w:rsidP="00842EBC">
            <w:r>
              <w:lastRenderedPageBreak/>
              <w:t>9:00 – 10:00am</w:t>
            </w:r>
          </w:p>
        </w:tc>
        <w:tc>
          <w:tcPr>
            <w:tcW w:w="6005" w:type="dxa"/>
          </w:tcPr>
          <w:p w:rsidR="003225D4" w:rsidRPr="00961B83" w:rsidRDefault="003225D4" w:rsidP="00842EBC">
            <w:pPr>
              <w:rPr>
                <w:b/>
              </w:rPr>
            </w:pPr>
            <w:r>
              <w:t xml:space="preserve"> </w:t>
            </w:r>
            <w:r w:rsidRPr="00961B83">
              <w:rPr>
                <w:b/>
              </w:rPr>
              <w:t>Evaluability of SDGs</w:t>
            </w:r>
          </w:p>
          <w:p w:rsidR="003225D4" w:rsidRDefault="003225D4" w:rsidP="00961B83">
            <w:r w:rsidRPr="00961B83">
              <w:rPr>
                <w:u w:val="single"/>
              </w:rPr>
              <w:t>Speakers:</w:t>
            </w:r>
            <w:r>
              <w:t xml:space="preserve"> </w:t>
            </w:r>
          </w:p>
          <w:p w:rsidR="003225D4" w:rsidRDefault="003225D4" w:rsidP="004765C3">
            <w:pPr>
              <w:pStyle w:val="ListParagraph"/>
              <w:numPr>
                <w:ilvl w:val="0"/>
                <w:numId w:val="22"/>
              </w:numPr>
            </w:pPr>
            <w:r w:rsidRPr="00961B83">
              <w:t>Carlos Rafael DIEZ DE MEDINA SUAREZ</w:t>
            </w:r>
            <w:r>
              <w:t xml:space="preserve">, </w:t>
            </w:r>
            <w:r w:rsidRPr="00961B83">
              <w:t xml:space="preserve"> </w:t>
            </w:r>
            <w:r>
              <w:t xml:space="preserve">ILO </w:t>
            </w:r>
            <w:r w:rsidRPr="00961B83">
              <w:t>Director of Statistics and member of Inter Agency Expert Group on Sustainable Development Goal Indicators (IAEG-SDGs)</w:t>
            </w:r>
          </w:p>
          <w:p w:rsidR="003225D4" w:rsidRDefault="003225D4" w:rsidP="004765C3">
            <w:pPr>
              <w:pStyle w:val="ListParagraph"/>
              <w:numPr>
                <w:ilvl w:val="0"/>
                <w:numId w:val="22"/>
              </w:numPr>
            </w:pPr>
            <w:r>
              <w:t>Colin Kirk, Director Evaluation Office, UNICEF</w:t>
            </w:r>
            <w:r w:rsidRPr="00961B83">
              <w:t>.</w:t>
            </w:r>
          </w:p>
        </w:tc>
        <w:tc>
          <w:tcPr>
            <w:tcW w:w="6300" w:type="dxa"/>
          </w:tcPr>
          <w:p w:rsidR="003225D4" w:rsidRDefault="003225D4" w:rsidP="00070261"/>
        </w:tc>
      </w:tr>
      <w:tr w:rsidR="003225D4" w:rsidRPr="00AC4118" w:rsidTr="003225D4">
        <w:tc>
          <w:tcPr>
            <w:tcW w:w="1892" w:type="dxa"/>
          </w:tcPr>
          <w:p w:rsidR="003225D4" w:rsidRPr="00AC4118" w:rsidRDefault="003225D4" w:rsidP="00842EBC">
            <w:pPr>
              <w:rPr>
                <w:b/>
              </w:rPr>
            </w:pPr>
            <w:r w:rsidRPr="00AC4118">
              <w:rPr>
                <w:b/>
              </w:rPr>
              <w:t>10:</w:t>
            </w:r>
            <w:r>
              <w:rPr>
                <w:b/>
              </w:rPr>
              <w:t>0</w:t>
            </w:r>
            <w:r w:rsidRPr="00AC4118">
              <w:rPr>
                <w:b/>
              </w:rPr>
              <w:t>0 – 1</w:t>
            </w:r>
            <w:r>
              <w:rPr>
                <w:b/>
              </w:rPr>
              <w:t>0</w:t>
            </w:r>
            <w:r w:rsidRPr="00AC4118">
              <w:rPr>
                <w:b/>
              </w:rPr>
              <w:t>:</w:t>
            </w:r>
            <w:r>
              <w:rPr>
                <w:b/>
              </w:rPr>
              <w:t>3</w:t>
            </w:r>
            <w:r w:rsidRPr="00AC4118">
              <w:rPr>
                <w:b/>
              </w:rPr>
              <w:t>0</w:t>
            </w:r>
          </w:p>
        </w:tc>
        <w:tc>
          <w:tcPr>
            <w:tcW w:w="12305" w:type="dxa"/>
            <w:gridSpan w:val="2"/>
          </w:tcPr>
          <w:p w:rsidR="003225D4" w:rsidRPr="00AC4118" w:rsidRDefault="003225D4" w:rsidP="00842EBC">
            <w:pPr>
              <w:jc w:val="center"/>
              <w:rPr>
                <w:b/>
              </w:rPr>
            </w:pPr>
            <w:r w:rsidRPr="00AC4118">
              <w:rPr>
                <w:b/>
              </w:rPr>
              <w:t>COFFEE BREA</w:t>
            </w:r>
            <w:r>
              <w:rPr>
                <w:b/>
              </w:rPr>
              <w:t>K: GROUP PHOTO</w:t>
            </w:r>
          </w:p>
        </w:tc>
      </w:tr>
      <w:tr w:rsidR="003225D4" w:rsidTr="003225D4">
        <w:tc>
          <w:tcPr>
            <w:tcW w:w="1892" w:type="dxa"/>
          </w:tcPr>
          <w:p w:rsidR="003225D4" w:rsidRDefault="003225D4" w:rsidP="00842EBC">
            <w:r>
              <w:t>10:30-12:00pm</w:t>
            </w:r>
          </w:p>
        </w:tc>
        <w:tc>
          <w:tcPr>
            <w:tcW w:w="6005" w:type="dxa"/>
          </w:tcPr>
          <w:p w:rsidR="003225D4" w:rsidRDefault="003225D4" w:rsidP="00842EBC">
            <w:pPr>
              <w:rPr>
                <w:u w:val="single"/>
              </w:rPr>
            </w:pPr>
            <w:r w:rsidRPr="00961B83">
              <w:rPr>
                <w:b/>
              </w:rPr>
              <w:t>Evaluability of SDGs</w:t>
            </w:r>
            <w:r>
              <w:rPr>
                <w:u w:val="single"/>
              </w:rPr>
              <w:t xml:space="preserve"> </w:t>
            </w:r>
          </w:p>
          <w:p w:rsidR="003225D4" w:rsidRPr="00961B83" w:rsidRDefault="003225D4" w:rsidP="00842EBC">
            <w:pPr>
              <w:rPr>
                <w:u w:val="single"/>
              </w:rPr>
            </w:pPr>
            <w:r>
              <w:rPr>
                <w:u w:val="single"/>
              </w:rPr>
              <w:t>World Café</w:t>
            </w:r>
            <w:r w:rsidRPr="00961B83">
              <w:rPr>
                <w:u w:val="single"/>
              </w:rPr>
              <w:t xml:space="preserve"> </w:t>
            </w:r>
          </w:p>
          <w:p w:rsidR="003225D4" w:rsidRPr="00FC78ED" w:rsidRDefault="003225D4" w:rsidP="00FC78ED">
            <w:pPr>
              <w:pStyle w:val="ListParagraph"/>
              <w:numPr>
                <w:ilvl w:val="0"/>
                <w:numId w:val="2"/>
              </w:numPr>
              <w:jc w:val="both"/>
            </w:pPr>
            <w:r w:rsidRPr="00FC78ED">
              <w:t>In-house meta-analysis of ESCWA evaluations, Sonya Meyerson-Knox, ESCWA</w:t>
            </w:r>
          </w:p>
          <w:p w:rsidR="003225D4" w:rsidRPr="00FC78ED" w:rsidRDefault="003225D4" w:rsidP="00FC78ED">
            <w:pPr>
              <w:pStyle w:val="ListParagraph"/>
              <w:numPr>
                <w:ilvl w:val="0"/>
                <w:numId w:val="2"/>
              </w:numPr>
              <w:jc w:val="both"/>
            </w:pPr>
            <w:r w:rsidRPr="00FC78ED">
              <w:t>FAO Evaluating UN Agencies contributions to the SDGs: The FAO experience Carlos Tarazona, FAO</w:t>
            </w:r>
          </w:p>
          <w:p w:rsidR="003225D4" w:rsidRPr="00FC78ED" w:rsidRDefault="003225D4" w:rsidP="00FC78ED">
            <w:pPr>
              <w:pStyle w:val="ListParagraph"/>
              <w:numPr>
                <w:ilvl w:val="0"/>
                <w:numId w:val="2"/>
              </w:numPr>
            </w:pPr>
            <w:r w:rsidRPr="00FC78ED">
              <w:t>IFAD/FAO/WFP Evaluability of the SDGs, the main outcomes of an International workshop on the Evaluability of SDG-2, held</w:t>
            </w:r>
            <w:r w:rsidRPr="003B52A1">
              <w:t xml:space="preserve"> </w:t>
            </w:r>
            <w:r>
              <w:t xml:space="preserve">in Rome in November 2015, </w:t>
            </w:r>
            <w:r w:rsidRPr="00FC78ED">
              <w:t xml:space="preserve"> Johanna Pennarz, IFAD</w:t>
            </w:r>
          </w:p>
          <w:p w:rsidR="003225D4" w:rsidRPr="00FC78ED" w:rsidRDefault="003225D4" w:rsidP="00FC78ED">
            <w:pPr>
              <w:pStyle w:val="ListParagraph"/>
              <w:numPr>
                <w:ilvl w:val="0"/>
                <w:numId w:val="2"/>
              </w:numPr>
            </w:pPr>
            <w:r w:rsidRPr="00FC78ED">
              <w:rPr>
                <w:lang w:val="en-US"/>
              </w:rPr>
              <w:t xml:space="preserve">UNESCO </w:t>
            </w:r>
            <w:r w:rsidRPr="00FC78ED">
              <w:t>Reflections about cultural context and the contribution of culture to the SDGs - lessons from an evaluation on culture and sustainable development Barbara Torggler, UNESCO</w:t>
            </w:r>
          </w:p>
          <w:p w:rsidR="003225D4" w:rsidRPr="00FC78ED" w:rsidRDefault="003225D4" w:rsidP="00FC78ED">
            <w:pPr>
              <w:pStyle w:val="ListParagraph"/>
              <w:numPr>
                <w:ilvl w:val="0"/>
                <w:numId w:val="2"/>
              </w:numPr>
              <w:rPr>
                <w:lang w:val="en-US"/>
              </w:rPr>
            </w:pPr>
            <w:r w:rsidRPr="00FC78ED">
              <w:rPr>
                <w:lang w:val="en-US"/>
              </w:rPr>
              <w:lastRenderedPageBreak/>
              <w:t xml:space="preserve">GEF evaluability of the SDGs related to saving the planet, </w:t>
            </w:r>
            <w:r w:rsidRPr="00FC78ED">
              <w:rPr>
                <w:rFonts w:eastAsia="Times New Roman"/>
              </w:rPr>
              <w:t>Anna Viggh  from GEF</w:t>
            </w:r>
          </w:p>
          <w:p w:rsidR="003225D4" w:rsidRPr="00FC78ED" w:rsidRDefault="003225D4" w:rsidP="00FC78ED">
            <w:pPr>
              <w:pStyle w:val="ListParagraph"/>
              <w:numPr>
                <w:ilvl w:val="0"/>
                <w:numId w:val="2"/>
              </w:numPr>
              <w:rPr>
                <w:lang w:val="en-US"/>
              </w:rPr>
            </w:pPr>
            <w:r w:rsidRPr="00FC78ED">
              <w:rPr>
                <w:lang w:val="en-US"/>
              </w:rPr>
              <w:t>ILO</w:t>
            </w:r>
            <w:r w:rsidRPr="00FC78ED">
              <w:t xml:space="preserve"> </w:t>
            </w:r>
            <w:r w:rsidRPr="00FC78ED">
              <w:rPr>
                <w:lang w:val="en-US"/>
              </w:rPr>
              <w:t xml:space="preserve">Evaluability of SDGs through a decent work lens – ILOs work on evaluability of SDGs </w:t>
            </w:r>
            <w:r>
              <w:rPr>
                <w:lang w:val="en-US"/>
              </w:rPr>
              <w:t xml:space="preserve">, </w:t>
            </w:r>
            <w:r w:rsidRPr="00FC78ED">
              <w:rPr>
                <w:lang w:val="en-US"/>
              </w:rPr>
              <w:t>Peter Wichmand, ILO</w:t>
            </w:r>
          </w:p>
          <w:p w:rsidR="003225D4" w:rsidRPr="00FC78ED" w:rsidRDefault="003225D4" w:rsidP="00FC78ED">
            <w:pPr>
              <w:pStyle w:val="ListParagraph"/>
              <w:numPr>
                <w:ilvl w:val="0"/>
                <w:numId w:val="2"/>
              </w:numPr>
              <w:jc w:val="both"/>
            </w:pPr>
            <w:r w:rsidRPr="00FC78ED">
              <w:rPr>
                <w:lang w:val="en-US"/>
              </w:rPr>
              <w:t>UNDP</w:t>
            </w:r>
            <w:r w:rsidRPr="00FC78ED">
              <w:t xml:space="preserve"> </w:t>
            </w:r>
            <w:r w:rsidRPr="00FC78ED">
              <w:rPr>
                <w:lang w:val="en-US"/>
              </w:rPr>
              <w:t>Evaluab</w:t>
            </w:r>
            <w:r>
              <w:rPr>
                <w:lang w:val="en-US"/>
              </w:rPr>
              <w:t>ility of Goal 16 and Challenges</w:t>
            </w:r>
            <w:r w:rsidRPr="00FC78ED">
              <w:rPr>
                <w:lang w:val="en-US"/>
              </w:rPr>
              <w:t xml:space="preserve"> Indran Naidoo, UNDP</w:t>
            </w:r>
          </w:p>
        </w:tc>
        <w:tc>
          <w:tcPr>
            <w:tcW w:w="6300" w:type="dxa"/>
          </w:tcPr>
          <w:p w:rsidR="003225D4" w:rsidRPr="007435B4" w:rsidRDefault="003225D4" w:rsidP="00D039C3"/>
        </w:tc>
      </w:tr>
      <w:tr w:rsidR="003225D4" w:rsidTr="003225D4">
        <w:tc>
          <w:tcPr>
            <w:tcW w:w="1892" w:type="dxa"/>
          </w:tcPr>
          <w:p w:rsidR="003225D4" w:rsidRDefault="003225D4" w:rsidP="00842EBC">
            <w:r>
              <w:t>12:00 – 1:00pm</w:t>
            </w:r>
          </w:p>
        </w:tc>
        <w:tc>
          <w:tcPr>
            <w:tcW w:w="6005" w:type="dxa"/>
          </w:tcPr>
          <w:p w:rsidR="003225D4" w:rsidRPr="007D7286" w:rsidRDefault="003225D4">
            <w:pPr>
              <w:rPr>
                <w:b/>
                <w:bCs/>
                <w:iCs/>
                <w:lang w:val="en-GB"/>
              </w:rPr>
            </w:pPr>
            <w:r w:rsidRPr="007D7286">
              <w:rPr>
                <w:b/>
                <w:bCs/>
                <w:iCs/>
                <w:lang w:val="en-GB"/>
              </w:rPr>
              <w:t>Evaluation in the SDG era: lessons, challenges and opportunities for UNEG</w:t>
            </w:r>
          </w:p>
          <w:p w:rsidR="003225D4" w:rsidRDefault="003225D4">
            <w:r w:rsidRPr="004765C3">
              <w:rPr>
                <w:u w:val="single"/>
              </w:rPr>
              <w:t>Chair</w:t>
            </w:r>
            <w:r>
              <w:t>: Helen Wedgwood,  WFP on behalf of SO3 SDG Working Group</w:t>
            </w:r>
          </w:p>
          <w:p w:rsidR="003225D4" w:rsidRDefault="003225D4">
            <w:r w:rsidRPr="004765C3">
              <w:rPr>
                <w:u w:val="single"/>
              </w:rPr>
              <w:t>Speaker:</w:t>
            </w:r>
            <w:r>
              <w:t xml:space="preserve"> Tullia Aiazzi, Evaluation Expert</w:t>
            </w:r>
          </w:p>
          <w:p w:rsidR="003225D4" w:rsidRDefault="003225D4" w:rsidP="00D92457">
            <w:pPr>
              <w:spacing w:line="280" w:lineRule="exact"/>
            </w:pPr>
            <w:r>
              <w:t xml:space="preserve">Draft report available at: </w:t>
            </w:r>
          </w:p>
          <w:p w:rsidR="003225D4" w:rsidRPr="00D92457" w:rsidRDefault="003225D4" w:rsidP="00D92457">
            <w:pPr>
              <w:pStyle w:val="ListParagraph"/>
              <w:numPr>
                <w:ilvl w:val="0"/>
                <w:numId w:val="24"/>
              </w:numPr>
              <w:spacing w:after="240" w:line="280" w:lineRule="exact"/>
              <w:rPr>
                <w:u w:val="single"/>
              </w:rPr>
            </w:pPr>
            <w:hyperlink r:id="rId8" w:history="1">
              <w:r>
                <w:rPr>
                  <w:rStyle w:val="Hyperlink"/>
                </w:rPr>
                <w:t>Evaluation in the SDG era: Lessons challenges and opportunities for UNEG</w:t>
              </w:r>
            </w:hyperlink>
          </w:p>
          <w:p w:rsidR="003225D4" w:rsidRDefault="003225D4" w:rsidP="00D92457">
            <w:pPr>
              <w:pStyle w:val="ListParagraph"/>
              <w:numPr>
                <w:ilvl w:val="0"/>
                <w:numId w:val="24"/>
              </w:numPr>
              <w:spacing w:after="240" w:line="280" w:lineRule="exact"/>
            </w:pPr>
            <w:hyperlink r:id="rId9" w:history="1">
              <w:r>
                <w:rPr>
                  <w:rStyle w:val="Hyperlink"/>
                </w:rPr>
                <w:t>Report Annexes</w:t>
              </w:r>
            </w:hyperlink>
          </w:p>
          <w:p w:rsidR="003225D4" w:rsidRDefault="003225D4"/>
        </w:tc>
        <w:tc>
          <w:tcPr>
            <w:tcW w:w="6300" w:type="dxa"/>
          </w:tcPr>
          <w:p w:rsidR="003225D4" w:rsidRPr="009253B2" w:rsidRDefault="003225D4" w:rsidP="00475DCF">
            <w:pPr>
              <w:rPr>
                <w:b/>
              </w:rPr>
            </w:pPr>
            <w:r w:rsidRPr="009253B2">
              <w:rPr>
                <w:b/>
              </w:rPr>
              <w:t>Independent System Wide Evaluation: Presentation on results from pilot evaluations</w:t>
            </w:r>
          </w:p>
          <w:p w:rsidR="003225D4" w:rsidRPr="00961B83" w:rsidRDefault="003225D4" w:rsidP="009253B2">
            <w:pPr>
              <w:rPr>
                <w:u w:val="single"/>
              </w:rPr>
            </w:pPr>
            <w:r>
              <w:t xml:space="preserve"> </w:t>
            </w:r>
            <w:r w:rsidRPr="00961B83">
              <w:rPr>
                <w:u w:val="single"/>
              </w:rPr>
              <w:t>Speakers:</w:t>
            </w:r>
          </w:p>
          <w:p w:rsidR="003225D4" w:rsidRDefault="003225D4" w:rsidP="004765C3">
            <w:pPr>
              <w:pStyle w:val="ListParagraph"/>
              <w:numPr>
                <w:ilvl w:val="0"/>
                <w:numId w:val="21"/>
              </w:numPr>
            </w:pPr>
            <w:r w:rsidRPr="004765C3">
              <w:t>Members of the ISWE Eval</w:t>
            </w:r>
            <w:r>
              <w:t>uation Management Groups (EMGs)</w:t>
            </w:r>
            <w:r w:rsidRPr="004765C3">
              <w:rPr>
                <w:rFonts w:ascii="Arial" w:hAnsi="Arial" w:cs="Arial"/>
                <w:sz w:val="20"/>
                <w:szCs w:val="20"/>
              </w:rPr>
              <w:t xml:space="preserve">  </w:t>
            </w:r>
            <w:r>
              <w:t xml:space="preserve"> </w:t>
            </w:r>
          </w:p>
          <w:p w:rsidR="003225D4" w:rsidRPr="004765C3" w:rsidRDefault="003225D4" w:rsidP="004765C3">
            <w:pPr>
              <w:pStyle w:val="ListParagraph"/>
              <w:numPr>
                <w:ilvl w:val="0"/>
                <w:numId w:val="21"/>
              </w:numPr>
            </w:pPr>
            <w:r w:rsidRPr="004765C3">
              <w:t>Mike Reynolds, Evaluation Expert</w:t>
            </w:r>
          </w:p>
          <w:p w:rsidR="003225D4" w:rsidRDefault="003225D4" w:rsidP="004765C3">
            <w:pPr>
              <w:pStyle w:val="ListParagraph"/>
              <w:numPr>
                <w:ilvl w:val="0"/>
                <w:numId w:val="21"/>
              </w:numPr>
            </w:pPr>
            <w:r w:rsidRPr="004765C3">
              <w:t xml:space="preserve">Scott Green, </w:t>
            </w:r>
            <w:r>
              <w:t xml:space="preserve">Coordinator, Independent System-wide Evaluation (ISWE) Secretariat Joint Inspection Unit (Observer) (JIU) </w:t>
            </w:r>
          </w:p>
          <w:p w:rsidR="003225D4" w:rsidRDefault="003225D4" w:rsidP="00CC5F83">
            <w:pPr>
              <w:pStyle w:val="ListParagraph"/>
            </w:pPr>
            <w:r>
              <w:br/>
            </w:r>
          </w:p>
        </w:tc>
      </w:tr>
      <w:tr w:rsidR="003225D4" w:rsidTr="003225D4">
        <w:tc>
          <w:tcPr>
            <w:tcW w:w="1892" w:type="dxa"/>
          </w:tcPr>
          <w:p w:rsidR="003225D4" w:rsidRDefault="003225D4" w:rsidP="00842EBC">
            <w:r>
              <w:t xml:space="preserve">1:00 – 1:30pm </w:t>
            </w:r>
          </w:p>
        </w:tc>
        <w:tc>
          <w:tcPr>
            <w:tcW w:w="6005" w:type="dxa"/>
          </w:tcPr>
          <w:p w:rsidR="003225D4" w:rsidRDefault="003225D4" w:rsidP="00842EBC">
            <w:r>
              <w:t>CLOSING</w:t>
            </w:r>
          </w:p>
        </w:tc>
        <w:tc>
          <w:tcPr>
            <w:tcW w:w="6300" w:type="dxa"/>
          </w:tcPr>
          <w:p w:rsidR="003225D4" w:rsidRDefault="003225D4" w:rsidP="00842EBC"/>
        </w:tc>
      </w:tr>
    </w:tbl>
    <w:p w:rsidR="001646B0" w:rsidRDefault="001646B0" w:rsidP="003D6940"/>
    <w:p w:rsidR="007B0873" w:rsidRDefault="007B0873">
      <w:r>
        <w:br w:type="page"/>
      </w:r>
      <w:bookmarkStart w:id="0" w:name="_GoBack"/>
      <w:bookmarkEnd w:id="0"/>
    </w:p>
    <w:p w:rsidR="007B0873" w:rsidRDefault="007B0873" w:rsidP="007B0873">
      <w:r>
        <w:rPr>
          <w:noProof/>
        </w:rPr>
        <w:lastRenderedPageBreak/>
        <w:drawing>
          <wp:inline distT="0" distB="0" distL="0" distR="0" wp14:anchorId="40330F04" wp14:editId="01D3F01D">
            <wp:extent cx="224790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47900" cy="561975"/>
                    </a:xfrm>
                    <a:prstGeom prst="rect">
                      <a:avLst/>
                    </a:prstGeom>
                  </pic:spPr>
                </pic:pic>
              </a:graphicData>
            </a:graphic>
          </wp:inline>
        </w:drawing>
      </w:r>
    </w:p>
    <w:p w:rsidR="007B0873" w:rsidRDefault="007B0873" w:rsidP="007B0873">
      <w:pPr>
        <w:spacing w:after="0" w:line="240" w:lineRule="auto"/>
        <w:jc w:val="center"/>
        <w:rPr>
          <w:b/>
          <w:color w:val="244061" w:themeColor="accent1" w:themeShade="80"/>
          <w:sz w:val="28"/>
          <w:szCs w:val="28"/>
        </w:rPr>
      </w:pPr>
    </w:p>
    <w:p w:rsidR="007B0873" w:rsidRDefault="007B0873" w:rsidP="007B0873">
      <w:pPr>
        <w:spacing w:after="0" w:line="240" w:lineRule="auto"/>
        <w:jc w:val="center"/>
        <w:rPr>
          <w:b/>
          <w:color w:val="244061" w:themeColor="accent1" w:themeShade="80"/>
          <w:sz w:val="28"/>
          <w:szCs w:val="28"/>
        </w:rPr>
      </w:pPr>
      <w:r w:rsidRPr="00C34A13">
        <w:rPr>
          <w:b/>
          <w:color w:val="244061" w:themeColor="accent1" w:themeShade="80"/>
          <w:sz w:val="28"/>
          <w:szCs w:val="28"/>
        </w:rPr>
        <w:t xml:space="preserve">2016 </w:t>
      </w:r>
      <w:r>
        <w:rPr>
          <w:b/>
          <w:color w:val="244061" w:themeColor="accent1" w:themeShade="80"/>
          <w:sz w:val="28"/>
          <w:szCs w:val="28"/>
        </w:rPr>
        <w:t xml:space="preserve">UNEG </w:t>
      </w:r>
      <w:r w:rsidRPr="00C34A13">
        <w:rPr>
          <w:b/>
          <w:color w:val="244061" w:themeColor="accent1" w:themeShade="80"/>
          <w:sz w:val="28"/>
          <w:szCs w:val="28"/>
        </w:rPr>
        <w:t>Evaluation Week</w:t>
      </w:r>
    </w:p>
    <w:p w:rsidR="007B0873" w:rsidRPr="00C34A13" w:rsidRDefault="007B0873" w:rsidP="007B0873">
      <w:pPr>
        <w:spacing w:after="0" w:line="240" w:lineRule="auto"/>
        <w:jc w:val="center"/>
        <w:rPr>
          <w:b/>
          <w:color w:val="244061" w:themeColor="accent1" w:themeShade="80"/>
          <w:sz w:val="28"/>
          <w:szCs w:val="28"/>
        </w:rPr>
      </w:pPr>
      <w:r>
        <w:rPr>
          <w:b/>
          <w:color w:val="244061" w:themeColor="accent1" w:themeShade="80"/>
          <w:sz w:val="28"/>
          <w:szCs w:val="28"/>
        </w:rPr>
        <w:t>Evaluation Practice Exchange (EPE)</w:t>
      </w:r>
    </w:p>
    <w:p w:rsidR="007B0873" w:rsidRDefault="007B0873" w:rsidP="007B0873">
      <w:pPr>
        <w:spacing w:after="0" w:line="240" w:lineRule="auto"/>
        <w:jc w:val="center"/>
        <w:rPr>
          <w:b/>
          <w:color w:val="244061" w:themeColor="accent1" w:themeShade="80"/>
        </w:rPr>
      </w:pPr>
      <w:r w:rsidRPr="00C34A13">
        <w:rPr>
          <w:b/>
          <w:color w:val="244061" w:themeColor="accent1" w:themeShade="80"/>
        </w:rPr>
        <w:t>Concept Note</w:t>
      </w:r>
    </w:p>
    <w:p w:rsidR="007B0873" w:rsidRPr="00C34A13" w:rsidRDefault="007B0873" w:rsidP="007B0873">
      <w:pPr>
        <w:spacing w:after="0" w:line="240" w:lineRule="auto"/>
        <w:jc w:val="center"/>
        <w:rPr>
          <w:b/>
          <w:color w:val="244061" w:themeColor="accent1" w:themeShade="80"/>
        </w:rPr>
      </w:pPr>
    </w:p>
    <w:p w:rsidR="007B0873" w:rsidRDefault="007B0873" w:rsidP="007B0873">
      <w:pPr>
        <w:spacing w:after="0" w:line="240" w:lineRule="auto"/>
      </w:pPr>
    </w:p>
    <w:p w:rsidR="007B0873" w:rsidRDefault="007B0873" w:rsidP="007B0873">
      <w:pPr>
        <w:spacing w:after="0" w:line="240" w:lineRule="auto"/>
        <w:rPr>
          <w:b/>
          <w:color w:val="244061" w:themeColor="accent1" w:themeShade="80"/>
        </w:rPr>
      </w:pPr>
      <w:r>
        <w:rPr>
          <w:b/>
          <w:color w:val="244061" w:themeColor="accent1" w:themeShade="80"/>
        </w:rPr>
        <w:t>Date: 25-26</w:t>
      </w:r>
      <w:r w:rsidRPr="00846C08">
        <w:rPr>
          <w:b/>
          <w:color w:val="244061" w:themeColor="accent1" w:themeShade="80"/>
        </w:rPr>
        <w:t xml:space="preserve"> April, 2016</w:t>
      </w:r>
    </w:p>
    <w:p w:rsidR="007B0873" w:rsidRPr="00846C08" w:rsidRDefault="007B0873" w:rsidP="007B0873">
      <w:pPr>
        <w:spacing w:after="0" w:line="240" w:lineRule="auto"/>
        <w:rPr>
          <w:b/>
          <w:color w:val="244061" w:themeColor="accent1" w:themeShade="80"/>
        </w:rPr>
      </w:pPr>
      <w:r>
        <w:rPr>
          <w:b/>
          <w:color w:val="244061" w:themeColor="accent1" w:themeShade="80"/>
        </w:rPr>
        <w:t xml:space="preserve">EPE Committee: THE GEF; ILO; UNICEF; UNITAR; UN Women; UNDP, WFP, OCHA </w:t>
      </w:r>
    </w:p>
    <w:p w:rsidR="007B0873" w:rsidRPr="00846C08" w:rsidRDefault="007B0873" w:rsidP="007B0873">
      <w:pPr>
        <w:spacing w:after="0" w:line="240" w:lineRule="auto"/>
        <w:rPr>
          <w:b/>
          <w:color w:val="244061" w:themeColor="accent1" w:themeShade="80"/>
        </w:rPr>
      </w:pPr>
      <w:r w:rsidRPr="00846C08">
        <w:rPr>
          <w:b/>
          <w:color w:val="244061" w:themeColor="accent1" w:themeShade="80"/>
        </w:rPr>
        <w:t>Location: WIPO Conference rooms, Geneva, Switzerland</w:t>
      </w:r>
    </w:p>
    <w:p w:rsidR="007B0873" w:rsidRPr="00846C08" w:rsidRDefault="007B0873" w:rsidP="007B0873">
      <w:pPr>
        <w:spacing w:after="0" w:line="240" w:lineRule="auto"/>
        <w:rPr>
          <w:b/>
          <w:color w:val="244061" w:themeColor="accent1" w:themeShade="80"/>
        </w:rPr>
      </w:pPr>
    </w:p>
    <w:p w:rsidR="007B0873" w:rsidRDefault="007B0873" w:rsidP="007B0873">
      <w:pPr>
        <w:spacing w:after="0" w:line="240" w:lineRule="auto"/>
      </w:pPr>
    </w:p>
    <w:p w:rsidR="007B0873" w:rsidRPr="00690786" w:rsidRDefault="007B0873" w:rsidP="007B0873">
      <w:pPr>
        <w:spacing w:after="0" w:line="240" w:lineRule="auto"/>
        <w:jc w:val="both"/>
        <w:rPr>
          <w:b/>
        </w:rPr>
      </w:pPr>
      <w:r w:rsidRPr="00690786">
        <w:rPr>
          <w:b/>
        </w:rPr>
        <w:t>Introduction</w:t>
      </w:r>
    </w:p>
    <w:p w:rsidR="007B0873" w:rsidRDefault="007B0873" w:rsidP="007B0873">
      <w:pPr>
        <w:spacing w:after="0" w:line="240" w:lineRule="auto"/>
        <w:jc w:val="both"/>
      </w:pPr>
    </w:p>
    <w:p w:rsidR="007B0873" w:rsidRPr="00821084" w:rsidRDefault="007B0873" w:rsidP="007B0873">
      <w:pPr>
        <w:spacing w:after="0" w:line="240" w:lineRule="auto"/>
        <w:jc w:val="both"/>
      </w:pPr>
      <w:r>
        <w:t>The 2016 Evaluation Week will take place in Geneva between 25ht and 29</w:t>
      </w:r>
      <w:r w:rsidRPr="00C34A13">
        <w:rPr>
          <w:vertAlign w:val="superscript"/>
        </w:rPr>
        <w:t>th</w:t>
      </w:r>
      <w:r>
        <w:t xml:space="preserve"> April, 2016. The event is organized with the support of the Geneva-based UNEG member organizations</w:t>
      </w:r>
      <w:r w:rsidRPr="00821084">
        <w:t>.</w:t>
      </w:r>
      <w:r w:rsidRPr="00821084">
        <w:rPr>
          <w:rStyle w:val="FootnoteReference"/>
          <w:b/>
        </w:rPr>
        <w:t xml:space="preserve"> </w:t>
      </w:r>
      <w:r w:rsidRPr="00821084">
        <w:rPr>
          <w:rStyle w:val="FootnoteReference"/>
          <w:b/>
        </w:rPr>
        <w:footnoteReference w:id="1"/>
      </w:r>
      <w:r w:rsidRPr="00821084">
        <w:t xml:space="preserve"> </w:t>
      </w:r>
      <w:r>
        <w:t>The EPE is one component of the Evaluation Week that will take place between the 25</w:t>
      </w:r>
      <w:r w:rsidRPr="00CA7826">
        <w:rPr>
          <w:vertAlign w:val="superscript"/>
        </w:rPr>
        <w:t>th</w:t>
      </w:r>
      <w:r>
        <w:t xml:space="preserve"> and 26</w:t>
      </w:r>
      <w:r w:rsidRPr="00CA7826">
        <w:rPr>
          <w:vertAlign w:val="superscript"/>
        </w:rPr>
        <w:t>th</w:t>
      </w:r>
      <w:r>
        <w:t xml:space="preserve"> April, 2016. </w:t>
      </w:r>
    </w:p>
    <w:p w:rsidR="007B0873" w:rsidRDefault="007B0873" w:rsidP="007B0873">
      <w:pPr>
        <w:spacing w:after="0" w:line="240" w:lineRule="auto"/>
        <w:jc w:val="both"/>
      </w:pPr>
    </w:p>
    <w:p w:rsidR="007B0873" w:rsidRDefault="007B0873" w:rsidP="007B0873">
      <w:pPr>
        <w:spacing w:after="0" w:line="240" w:lineRule="auto"/>
        <w:jc w:val="both"/>
      </w:pPr>
      <w:r>
        <w:t xml:space="preserve">The EPE and AGM sessions will be separated in 2016, to allow all interested members to attend EPE sessions and to allow for the EPE outcomes to inform the AGM. </w:t>
      </w:r>
    </w:p>
    <w:p w:rsidR="007B0873" w:rsidRDefault="007B0873" w:rsidP="007B0873">
      <w:pPr>
        <w:spacing w:after="0" w:line="240" w:lineRule="auto"/>
        <w:rPr>
          <w:b/>
        </w:rPr>
      </w:pPr>
    </w:p>
    <w:p w:rsidR="007B0873" w:rsidRPr="00A949FE" w:rsidRDefault="007B0873" w:rsidP="007B0873">
      <w:pPr>
        <w:spacing w:after="0" w:line="240" w:lineRule="auto"/>
        <w:rPr>
          <w:b/>
        </w:rPr>
      </w:pPr>
      <w:r w:rsidRPr="00A949FE">
        <w:rPr>
          <w:b/>
        </w:rPr>
        <w:t>Table 1. Tentative schedule of events</w:t>
      </w:r>
    </w:p>
    <w:tbl>
      <w:tblPr>
        <w:tblStyle w:val="TableGrid"/>
        <w:tblW w:w="0" w:type="auto"/>
        <w:tblLook w:val="04A0" w:firstRow="1" w:lastRow="0" w:firstColumn="1" w:lastColumn="0" w:noHBand="0" w:noVBand="1"/>
      </w:tblPr>
      <w:tblGrid>
        <w:gridCol w:w="1795"/>
        <w:gridCol w:w="1620"/>
        <w:gridCol w:w="1620"/>
        <w:gridCol w:w="1197"/>
        <w:gridCol w:w="1559"/>
        <w:gridCol w:w="1559"/>
      </w:tblGrid>
      <w:tr w:rsidR="007B0873" w:rsidTr="00490334">
        <w:tc>
          <w:tcPr>
            <w:tcW w:w="1795" w:type="dxa"/>
            <w:shd w:val="clear" w:color="auto" w:fill="95B3D7" w:themeFill="accent1" w:themeFillTint="99"/>
          </w:tcPr>
          <w:p w:rsidR="007B0873" w:rsidRDefault="007B0873" w:rsidP="00490334"/>
        </w:tc>
        <w:tc>
          <w:tcPr>
            <w:tcW w:w="1620" w:type="dxa"/>
            <w:shd w:val="clear" w:color="auto" w:fill="95B3D7" w:themeFill="accent1" w:themeFillTint="99"/>
          </w:tcPr>
          <w:p w:rsidR="007B0873" w:rsidRDefault="007B0873" w:rsidP="00490334">
            <w:r>
              <w:t>Monday 25th</w:t>
            </w:r>
          </w:p>
        </w:tc>
        <w:tc>
          <w:tcPr>
            <w:tcW w:w="1620" w:type="dxa"/>
            <w:shd w:val="clear" w:color="auto" w:fill="95B3D7" w:themeFill="accent1" w:themeFillTint="99"/>
          </w:tcPr>
          <w:p w:rsidR="007B0873" w:rsidRDefault="007B0873" w:rsidP="00490334">
            <w:r>
              <w:t>Tuesday 26th</w:t>
            </w:r>
          </w:p>
        </w:tc>
        <w:tc>
          <w:tcPr>
            <w:tcW w:w="1197" w:type="dxa"/>
            <w:shd w:val="clear" w:color="auto" w:fill="95B3D7" w:themeFill="accent1" w:themeFillTint="99"/>
          </w:tcPr>
          <w:p w:rsidR="007B0873" w:rsidRDefault="007B0873" w:rsidP="00490334">
            <w:r>
              <w:t>Wed 27th</w:t>
            </w:r>
          </w:p>
        </w:tc>
        <w:tc>
          <w:tcPr>
            <w:tcW w:w="1559" w:type="dxa"/>
            <w:shd w:val="clear" w:color="auto" w:fill="95B3D7" w:themeFill="accent1" w:themeFillTint="99"/>
          </w:tcPr>
          <w:p w:rsidR="007B0873" w:rsidRDefault="007B0873" w:rsidP="00490334">
            <w:r>
              <w:t>Thursday 28th</w:t>
            </w:r>
          </w:p>
        </w:tc>
        <w:tc>
          <w:tcPr>
            <w:tcW w:w="1559" w:type="dxa"/>
            <w:shd w:val="clear" w:color="auto" w:fill="95B3D7" w:themeFill="accent1" w:themeFillTint="99"/>
          </w:tcPr>
          <w:p w:rsidR="007B0873" w:rsidRDefault="007B0873" w:rsidP="00490334">
            <w:r>
              <w:t>Friday 29th</w:t>
            </w:r>
          </w:p>
        </w:tc>
      </w:tr>
      <w:tr w:rsidR="007B0873" w:rsidTr="00490334">
        <w:tc>
          <w:tcPr>
            <w:tcW w:w="1795" w:type="dxa"/>
          </w:tcPr>
          <w:p w:rsidR="007B0873" w:rsidRDefault="007B0873" w:rsidP="00490334">
            <w:r>
              <w:t>Morning (AM)</w:t>
            </w:r>
          </w:p>
        </w:tc>
        <w:tc>
          <w:tcPr>
            <w:tcW w:w="1620" w:type="dxa"/>
          </w:tcPr>
          <w:p w:rsidR="007B0873" w:rsidRDefault="007B0873" w:rsidP="00490334">
            <w:r>
              <w:t>EPE</w:t>
            </w:r>
          </w:p>
        </w:tc>
        <w:tc>
          <w:tcPr>
            <w:tcW w:w="1620" w:type="dxa"/>
          </w:tcPr>
          <w:p w:rsidR="007B0873" w:rsidRDefault="007B0873" w:rsidP="00490334">
            <w:r>
              <w:t>EPE</w:t>
            </w:r>
          </w:p>
        </w:tc>
        <w:tc>
          <w:tcPr>
            <w:tcW w:w="4315" w:type="dxa"/>
            <w:gridSpan w:val="3"/>
            <w:vMerge w:val="restart"/>
          </w:tcPr>
          <w:p w:rsidR="007B0873" w:rsidRDefault="007B0873" w:rsidP="00490334">
            <w:pPr>
              <w:jc w:val="center"/>
            </w:pPr>
            <w:r>
              <w:t>AGM</w:t>
            </w:r>
          </w:p>
        </w:tc>
      </w:tr>
      <w:tr w:rsidR="007B0873" w:rsidTr="00490334">
        <w:tc>
          <w:tcPr>
            <w:tcW w:w="1795" w:type="dxa"/>
          </w:tcPr>
          <w:p w:rsidR="007B0873" w:rsidRDefault="007B0873" w:rsidP="00490334">
            <w:r>
              <w:t>Afternoon (PM)</w:t>
            </w:r>
          </w:p>
        </w:tc>
        <w:tc>
          <w:tcPr>
            <w:tcW w:w="1620" w:type="dxa"/>
          </w:tcPr>
          <w:p w:rsidR="007B0873" w:rsidRDefault="007B0873" w:rsidP="00490334">
            <w:r>
              <w:t>EPE</w:t>
            </w:r>
          </w:p>
        </w:tc>
        <w:tc>
          <w:tcPr>
            <w:tcW w:w="1620" w:type="dxa"/>
          </w:tcPr>
          <w:p w:rsidR="007B0873" w:rsidRDefault="007B0873" w:rsidP="00490334">
            <w:r>
              <w:t xml:space="preserve">High-Level </w:t>
            </w:r>
          </w:p>
        </w:tc>
        <w:tc>
          <w:tcPr>
            <w:tcW w:w="4315" w:type="dxa"/>
            <w:gridSpan w:val="3"/>
            <w:vMerge/>
          </w:tcPr>
          <w:p w:rsidR="007B0873" w:rsidRDefault="007B0873" w:rsidP="00490334"/>
        </w:tc>
      </w:tr>
    </w:tbl>
    <w:p w:rsidR="007B0873" w:rsidRDefault="007B0873" w:rsidP="007B0873">
      <w:pPr>
        <w:spacing w:after="0" w:line="240" w:lineRule="auto"/>
        <w:jc w:val="both"/>
      </w:pPr>
    </w:p>
    <w:p w:rsidR="007B0873" w:rsidRPr="00690289" w:rsidRDefault="007B0873" w:rsidP="007B0873">
      <w:pPr>
        <w:spacing w:after="0" w:line="240" w:lineRule="auto"/>
        <w:jc w:val="both"/>
        <w:rPr>
          <w:b/>
        </w:rPr>
      </w:pPr>
      <w:r>
        <w:rPr>
          <w:b/>
        </w:rPr>
        <w:t xml:space="preserve">2016 </w:t>
      </w:r>
      <w:r w:rsidRPr="00690289">
        <w:rPr>
          <w:b/>
        </w:rPr>
        <w:t>Main theme</w:t>
      </w:r>
      <w:r>
        <w:rPr>
          <w:b/>
        </w:rPr>
        <w:t xml:space="preserve">: </w:t>
      </w:r>
      <w:r w:rsidRPr="00795601">
        <w:rPr>
          <w:b/>
          <w:i/>
        </w:rPr>
        <w:t>Evaluation Fit for the 2030 Agenda for Sustainable Development: no one left behind</w:t>
      </w:r>
    </w:p>
    <w:p w:rsidR="007B0873" w:rsidRDefault="007B0873" w:rsidP="007B0873">
      <w:pPr>
        <w:spacing w:after="0" w:line="240" w:lineRule="auto"/>
        <w:jc w:val="both"/>
      </w:pPr>
    </w:p>
    <w:p w:rsidR="007B0873" w:rsidRDefault="007B0873" w:rsidP="007B0873">
      <w:pPr>
        <w:spacing w:after="0" w:line="240" w:lineRule="auto"/>
        <w:jc w:val="both"/>
      </w:pPr>
      <w:r>
        <w:t>2016 will be a crucial year that will see several major processes coming to a new start. With the adoption of the UN General Assembly Resolution on evaluation capacity building (A/RES/69/237), the celebration of 2015 International Year of Evaluation and the launch of the Sustainable Development Goals (SDGs) in 2015, as well as the Humanitarian Summit taking place in May 2016, the UNEG has a significant opportunity to continue bringing evaluation to the forefront of development and humanitarian work. The SDGs in particular will shape the sustainable and equitable development discourse and action for the next 15 years. To remain relevant and fit for purpose, UNEG will need to strategically position itself as a key player in the global development community, while keeping focused in strengthening UN evaluation capabilities. In this context, the 2016 Evaluation Week will focus on “</w:t>
      </w:r>
      <w:r>
        <w:rPr>
          <w:b/>
          <w:i/>
        </w:rPr>
        <w:t xml:space="preserve">Evaluation Fit for the 2030 Agenda for Sustainable Development: no one left behind” </w:t>
      </w:r>
      <w:r>
        <w:t xml:space="preserve">as the main theme, examining the role of the UNEG in the 2030 sustainable development agenda, which includes the humanitarian agenda. </w:t>
      </w:r>
    </w:p>
    <w:p w:rsidR="007B0873" w:rsidRDefault="007B0873" w:rsidP="007B0873">
      <w:pPr>
        <w:spacing w:after="0" w:line="240" w:lineRule="auto"/>
        <w:jc w:val="both"/>
      </w:pPr>
    </w:p>
    <w:p w:rsidR="007B0873" w:rsidRDefault="007B0873" w:rsidP="007B0873">
      <w:pPr>
        <w:pStyle w:val="Default"/>
      </w:pPr>
    </w:p>
    <w:p w:rsidR="007B0873" w:rsidRPr="00754D9F" w:rsidRDefault="007B0873" w:rsidP="007B0873">
      <w:pPr>
        <w:spacing w:after="0" w:line="240" w:lineRule="auto"/>
        <w:jc w:val="both"/>
        <w:rPr>
          <w:b/>
        </w:rPr>
      </w:pPr>
      <w:r w:rsidRPr="00754D9F">
        <w:rPr>
          <w:b/>
        </w:rPr>
        <w:t xml:space="preserve">Purpose </w:t>
      </w:r>
    </w:p>
    <w:p w:rsidR="007B0873" w:rsidRDefault="007B0873" w:rsidP="007B0873">
      <w:pPr>
        <w:spacing w:after="0" w:line="240" w:lineRule="auto"/>
        <w:jc w:val="both"/>
      </w:pPr>
    </w:p>
    <w:p w:rsidR="007B0873" w:rsidRDefault="007B0873" w:rsidP="007B0873">
      <w:pPr>
        <w:spacing w:after="0" w:line="240" w:lineRule="auto"/>
        <w:jc w:val="both"/>
      </w:pPr>
      <w:r w:rsidRPr="00754D9F">
        <w:t>The EPE is an important opportu</w:t>
      </w:r>
      <w:r>
        <w:t>nity for UNEG members to come</w:t>
      </w:r>
      <w:r w:rsidRPr="00754D9F">
        <w:t xml:space="preserve"> together to share experience, knowledge and expertise related to evaluation approaches and methodologies. Its purpose is to a) facilitate learning and exchange of experiences amongst UNEG members, b) improve the credibility and utility of UN evaluations and c) contribute to the advancement of the evaluation function in the UN system.</w:t>
      </w:r>
    </w:p>
    <w:p w:rsidR="007B0873" w:rsidRDefault="007B0873" w:rsidP="007B0873">
      <w:pPr>
        <w:spacing w:after="0" w:line="240" w:lineRule="auto"/>
      </w:pPr>
    </w:p>
    <w:p w:rsidR="007B0873" w:rsidRDefault="007B0873" w:rsidP="007B0873">
      <w:pPr>
        <w:spacing w:after="0" w:line="240" w:lineRule="auto"/>
        <w:jc w:val="both"/>
        <w:rPr>
          <w:b/>
        </w:rPr>
      </w:pPr>
      <w:r>
        <w:rPr>
          <w:b/>
        </w:rPr>
        <w:t xml:space="preserve">Approach </w:t>
      </w:r>
    </w:p>
    <w:p w:rsidR="007B0873" w:rsidRDefault="007B0873" w:rsidP="007B0873">
      <w:pPr>
        <w:spacing w:after="0" w:line="240" w:lineRule="auto"/>
        <w:jc w:val="both"/>
        <w:rPr>
          <w:b/>
        </w:rPr>
      </w:pPr>
    </w:p>
    <w:p w:rsidR="007B0873" w:rsidRDefault="007B0873" w:rsidP="007B0873">
      <w:pPr>
        <w:spacing w:after="0" w:line="240" w:lineRule="auto"/>
        <w:jc w:val="both"/>
      </w:pPr>
      <w:r>
        <w:t xml:space="preserve">This year’s EPE will focus on “Making evaluation visible for the SDGs” focusing on equipping and ensuring evaluation issues remain relevant as the UN operationalize the SDGs keeping the rich exchange of experiences that is truth to the EPE. It will provide to the UN evaluation community a platform to exchange experiences, expertise and knowledge related to evaluation approaches and methodologies together with ensuring evaluation concerns will be considered as the UN steps towards operationalizing the SDGs.  What can evaluators do to ensure that evaluation of the SDGs will be a smoother process than the experience from the MDGs and the Delivering as One evaluations?  As evaluation practitioners we recurrently read the methodological limitations and the less than desirable evaluability assessments which point to the lack of baseline and monitoring data or lack of sound or irrelevant indicators that would have captured an intervention’s contribution to higher goals (now SDGs). What lessons can evaluation offices learn from similar experiences and what can we do to play our part in ensuring higher evaluability of the SDGs? Having the evaluation of the SDGs at the backdrop, the EPE will be an opportunity for the UN evaluation community to further exchange experiences and lessons learned on the evaluation practice. The EPE will also be the initial platform to kick-off a truthful information sharing process among UN evaluation offices. </w:t>
      </w:r>
    </w:p>
    <w:p w:rsidR="007B0873" w:rsidRDefault="007B0873" w:rsidP="007B0873">
      <w:pPr>
        <w:spacing w:after="0" w:line="240" w:lineRule="auto"/>
        <w:jc w:val="both"/>
      </w:pPr>
    </w:p>
    <w:p w:rsidR="007B0873" w:rsidRPr="000B6C27" w:rsidRDefault="007B0873" w:rsidP="007B0873">
      <w:pPr>
        <w:spacing w:after="0" w:line="240" w:lineRule="auto"/>
        <w:jc w:val="both"/>
      </w:pPr>
      <w:r w:rsidRPr="000B6C27">
        <w:t xml:space="preserve">Based on best practice from previous years, the EPE will take a “decentralized approach” to the planning and delivery of the EPE sessions. This means that UNEG agencies will select topics under each </w:t>
      </w:r>
      <w:r>
        <w:t xml:space="preserve">of the 4 </w:t>
      </w:r>
      <w:r w:rsidRPr="000B6C27">
        <w:t>stream</w:t>
      </w:r>
      <w:r>
        <w:t>s proposed</w:t>
      </w:r>
      <w:r w:rsidRPr="000B6C27">
        <w:t xml:space="preserve"> and take the lead in planning and managing the sessions. This </w:t>
      </w:r>
      <w:r w:rsidRPr="000B6C27">
        <w:lastRenderedPageBreak/>
        <w:t>approach is intended to bring an element of flexibility, creativity, and different organizational perspectives to the sessions, while reducing the administrative burden on the Management Group.</w:t>
      </w:r>
    </w:p>
    <w:p w:rsidR="007B0873" w:rsidRDefault="007B0873" w:rsidP="007B0873">
      <w:pPr>
        <w:spacing w:after="0" w:line="240" w:lineRule="auto"/>
        <w:jc w:val="both"/>
      </w:pPr>
    </w:p>
    <w:p w:rsidR="007B0873" w:rsidRPr="003D2B3C" w:rsidRDefault="007B0873" w:rsidP="007B0873">
      <w:pPr>
        <w:spacing w:after="0" w:line="240" w:lineRule="auto"/>
        <w:jc w:val="both"/>
        <w:rPr>
          <w:b/>
          <w:i/>
        </w:rPr>
      </w:pPr>
      <w:r w:rsidRPr="00754D9F">
        <w:t>Overall umbrella:</w:t>
      </w:r>
      <w:r w:rsidRPr="003D2B3C">
        <w:rPr>
          <w:b/>
          <w:i/>
        </w:rPr>
        <w:t xml:space="preserve"> </w:t>
      </w:r>
      <w:r>
        <w:rPr>
          <w:b/>
          <w:i/>
        </w:rPr>
        <w:t>“</w:t>
      </w:r>
      <w:r w:rsidRPr="00754D9F">
        <w:rPr>
          <w:b/>
          <w:i/>
        </w:rPr>
        <w:t>Making evaluation visible for the SDGs</w:t>
      </w:r>
      <w:r>
        <w:rPr>
          <w:b/>
          <w:i/>
        </w:rPr>
        <w:t xml:space="preserve">” </w:t>
      </w:r>
    </w:p>
    <w:p w:rsidR="007B0873" w:rsidRDefault="007B0873" w:rsidP="007B0873">
      <w:pPr>
        <w:spacing w:after="0" w:line="240" w:lineRule="auto"/>
        <w:jc w:val="both"/>
      </w:pPr>
    </w:p>
    <w:p w:rsidR="007B0873" w:rsidRPr="008F50EC" w:rsidRDefault="007B0873" w:rsidP="007B0873">
      <w:pPr>
        <w:spacing w:after="0" w:line="240" w:lineRule="auto"/>
        <w:jc w:val="both"/>
        <w:rPr>
          <w:b/>
        </w:rPr>
      </w:pPr>
      <w:r w:rsidRPr="008F50EC">
        <w:rPr>
          <w:b/>
        </w:rPr>
        <w:t>Stream 1: Evaluability of the SDGs: Tackling Evaluation of the SDGs – current approaches and lessons</w:t>
      </w:r>
    </w:p>
    <w:p w:rsidR="007B0873" w:rsidRDefault="007B0873" w:rsidP="007B0873">
      <w:pPr>
        <w:spacing w:after="0" w:line="240" w:lineRule="auto"/>
        <w:jc w:val="both"/>
        <w:rPr>
          <w:b/>
        </w:rPr>
      </w:pPr>
      <w:r w:rsidRPr="008F50EC">
        <w:rPr>
          <w:b/>
        </w:rPr>
        <w:t xml:space="preserve">Lead Agencies: </w:t>
      </w:r>
      <w:r>
        <w:rPr>
          <w:b/>
        </w:rPr>
        <w:t xml:space="preserve"> ILO – The GEF</w:t>
      </w:r>
    </w:p>
    <w:p w:rsidR="007B0873" w:rsidRDefault="007B0873" w:rsidP="007B0873">
      <w:pPr>
        <w:spacing w:after="0" w:line="240" w:lineRule="auto"/>
        <w:jc w:val="both"/>
        <w:rPr>
          <w:b/>
          <w:i/>
        </w:rPr>
      </w:pPr>
    </w:p>
    <w:p w:rsidR="007B0873" w:rsidRPr="008F50EC" w:rsidRDefault="007B0873" w:rsidP="007B0873">
      <w:pPr>
        <w:spacing w:after="0" w:line="240" w:lineRule="auto"/>
        <w:jc w:val="both"/>
        <w:rPr>
          <w:b/>
          <w:i/>
        </w:rPr>
      </w:pPr>
      <w:r w:rsidRPr="008F50EC">
        <w:rPr>
          <w:b/>
          <w:i/>
        </w:rPr>
        <w:t>Description</w:t>
      </w:r>
    </w:p>
    <w:p w:rsidR="007B0873" w:rsidRDefault="007B0873" w:rsidP="007B0873">
      <w:pPr>
        <w:spacing w:after="0" w:line="240" w:lineRule="auto"/>
        <w:jc w:val="both"/>
      </w:pPr>
      <w:r>
        <w:t xml:space="preserve">This stream will focus on sharing experiences in evaluability approaches and methodology. The suggested panel could cover a wider range of issues on evaluability ranging from: (1) challenges and lessons from the MDGs and DAO evaluation experiences; (2) collaborative approaches to tackle harmonized evaluation questions of cross cutting themes; (3) ensuring evaluation is embedded in the design of interventions supporting SDGs; (4) having evaluation offices “fit for purpose” for evaluating SDGs, mapping out the potential data sources. Other issues on evaluability could be suggested by interested agencies, including recent experiences in evaluability exercises. </w:t>
      </w:r>
    </w:p>
    <w:p w:rsidR="007B0873" w:rsidRDefault="007B0873" w:rsidP="007B0873">
      <w:pPr>
        <w:spacing w:after="0" w:line="240" w:lineRule="auto"/>
        <w:jc w:val="both"/>
      </w:pPr>
    </w:p>
    <w:p w:rsidR="007B0873" w:rsidRDefault="007B0873" w:rsidP="007B0873">
      <w:pPr>
        <w:spacing w:after="0" w:line="240" w:lineRule="auto"/>
        <w:jc w:val="both"/>
        <w:rPr>
          <w:b/>
        </w:rPr>
      </w:pPr>
    </w:p>
    <w:p w:rsidR="007B0873" w:rsidRDefault="007B0873" w:rsidP="007B0873">
      <w:pPr>
        <w:spacing w:after="0" w:line="240" w:lineRule="auto"/>
        <w:jc w:val="both"/>
        <w:rPr>
          <w:b/>
        </w:rPr>
      </w:pPr>
      <w:r>
        <w:rPr>
          <w:b/>
        </w:rPr>
        <w:t xml:space="preserve">Stream 2: No one left behind: The role of evaluation in ensuring equity, equality and non-discrimination. </w:t>
      </w:r>
    </w:p>
    <w:p w:rsidR="007B0873" w:rsidRDefault="007B0873" w:rsidP="007B0873">
      <w:pPr>
        <w:spacing w:after="0" w:line="240" w:lineRule="auto"/>
        <w:jc w:val="both"/>
        <w:rPr>
          <w:b/>
        </w:rPr>
      </w:pPr>
      <w:r>
        <w:rPr>
          <w:b/>
        </w:rPr>
        <w:t>Lead agencies: UNICEF – UN Women</w:t>
      </w:r>
    </w:p>
    <w:p w:rsidR="007B0873" w:rsidRPr="00BF657F" w:rsidRDefault="007B0873" w:rsidP="007B0873">
      <w:pPr>
        <w:spacing w:after="0" w:line="240" w:lineRule="auto"/>
        <w:jc w:val="both"/>
        <w:rPr>
          <w:b/>
        </w:rPr>
      </w:pPr>
    </w:p>
    <w:p w:rsidR="007B0873" w:rsidRDefault="007B0873" w:rsidP="007B0873">
      <w:pPr>
        <w:spacing w:after="0" w:line="240" w:lineRule="auto"/>
        <w:jc w:val="both"/>
        <w:rPr>
          <w:b/>
        </w:rPr>
      </w:pPr>
      <w:r>
        <w:rPr>
          <w:b/>
        </w:rPr>
        <w:t>Description:</w:t>
      </w:r>
    </w:p>
    <w:p w:rsidR="007B0873" w:rsidRDefault="007B0873" w:rsidP="007B0873">
      <w:pPr>
        <w:spacing w:after="0" w:line="240" w:lineRule="auto"/>
        <w:jc w:val="both"/>
      </w:pPr>
      <w:r w:rsidRPr="00A77A6B">
        <w:t xml:space="preserve">This stream will focus on </w:t>
      </w:r>
      <w:r>
        <w:t>sharing experiences related to evaluation methodologies and approaches to ensure “no one is left behind”, and on the role of evaluation in ensuring the SDGs are evaluated ensuring social equity, equality and non-discrimination.  The proposed panel could share experiences from UN evaluation offices on different approaches to evaluate SDGs that address social equity issues, gender equality and non-discrimination, as well as methodologies on addressing social equity issues in evaluation. Breakthroughs in social equity and gender equality approach to evaluation are encouraged.</w:t>
      </w:r>
    </w:p>
    <w:p w:rsidR="007B0873" w:rsidRDefault="007B0873" w:rsidP="007B0873">
      <w:pPr>
        <w:spacing w:after="0" w:line="240" w:lineRule="auto"/>
        <w:jc w:val="both"/>
      </w:pPr>
    </w:p>
    <w:p w:rsidR="007B0873" w:rsidRPr="007B0873" w:rsidRDefault="007B0873" w:rsidP="007B0873">
      <w:pPr>
        <w:spacing w:after="0" w:line="240" w:lineRule="auto"/>
        <w:jc w:val="both"/>
      </w:pPr>
    </w:p>
    <w:p w:rsidR="007B0873" w:rsidRDefault="007B0873" w:rsidP="007B0873">
      <w:pPr>
        <w:spacing w:after="0" w:line="240" w:lineRule="auto"/>
        <w:jc w:val="both"/>
        <w:rPr>
          <w:b/>
        </w:rPr>
      </w:pPr>
      <w:r>
        <w:rPr>
          <w:b/>
        </w:rPr>
        <w:t xml:space="preserve">Stream 3: </w:t>
      </w:r>
      <w:r w:rsidRPr="008F50EC">
        <w:rPr>
          <w:b/>
        </w:rPr>
        <w:t>National Evaluation Capacity Development for Evaluation of SDGs</w:t>
      </w:r>
      <w:r>
        <w:rPr>
          <w:b/>
        </w:rPr>
        <w:t xml:space="preserve"> &amp; Partnerships: Lessons and ways forward</w:t>
      </w:r>
    </w:p>
    <w:p w:rsidR="007B0873" w:rsidRDefault="007B0873" w:rsidP="007B0873">
      <w:pPr>
        <w:spacing w:after="0" w:line="240" w:lineRule="auto"/>
        <w:jc w:val="both"/>
        <w:rPr>
          <w:b/>
        </w:rPr>
      </w:pPr>
      <w:r>
        <w:rPr>
          <w:b/>
        </w:rPr>
        <w:t>Lead Agencies: ILO – UNITAR – UNICEF– UN Women</w:t>
      </w:r>
    </w:p>
    <w:p w:rsidR="007B0873" w:rsidRPr="0001558F" w:rsidRDefault="007B0873" w:rsidP="007B0873">
      <w:pPr>
        <w:spacing w:after="0" w:line="240" w:lineRule="auto"/>
        <w:jc w:val="both"/>
        <w:rPr>
          <w:b/>
        </w:rPr>
      </w:pPr>
    </w:p>
    <w:p w:rsidR="007B0873" w:rsidRPr="008F50EC" w:rsidRDefault="007B0873" w:rsidP="007B0873">
      <w:pPr>
        <w:spacing w:after="0" w:line="240" w:lineRule="auto"/>
        <w:jc w:val="both"/>
        <w:rPr>
          <w:b/>
          <w:i/>
        </w:rPr>
      </w:pPr>
      <w:r w:rsidRPr="008F50EC">
        <w:rPr>
          <w:b/>
          <w:i/>
        </w:rPr>
        <w:t xml:space="preserve">Description </w:t>
      </w:r>
    </w:p>
    <w:p w:rsidR="007B0873" w:rsidRDefault="007B0873" w:rsidP="007B0873">
      <w:pPr>
        <w:spacing w:after="0" w:line="240" w:lineRule="auto"/>
        <w:jc w:val="both"/>
      </w:pPr>
      <w:r>
        <w:t xml:space="preserve">The new SDGs agenda will open a renewed door for partnerships among development actors. Also, various UN evaluation offices are planning to strengthen national evaluation capacity development in the framework of the SDGs Programmes and strategies for achieving the SDGs will likely </w:t>
      </w:r>
      <w:r>
        <w:lastRenderedPageBreak/>
        <w:t>engage various and diverse actors at different national, regional and global levels. This stream will focus on sharing experiences on partnerships and national evaluation capacity development in general, and in particular for evaluation of the SDGs. The suggested session could address the following: (1) EvalSDGs as a renewed approach for advocating evaluation in the SDGs processes; (2) supporting national evaluation systems with tools for evaluation of the SDGs; (3) national data availability from national evaluation systems and evaluability; (4) innovative strategies for strengthening national review mechanisms from an evaluation point of view. Other issues/experiences on NECD could be suggested by interested agencies, as well as the format for the session.</w:t>
      </w:r>
    </w:p>
    <w:p w:rsidR="007B0873" w:rsidRDefault="007B0873" w:rsidP="007B0873">
      <w:pPr>
        <w:spacing w:after="0" w:line="240" w:lineRule="auto"/>
        <w:jc w:val="both"/>
      </w:pPr>
    </w:p>
    <w:p w:rsidR="007B0873" w:rsidRPr="008F50EC" w:rsidRDefault="007B0873" w:rsidP="007B0873">
      <w:pPr>
        <w:spacing w:after="0" w:line="240" w:lineRule="auto"/>
        <w:jc w:val="both"/>
        <w:rPr>
          <w:b/>
        </w:rPr>
      </w:pPr>
      <w:r w:rsidRPr="008F50EC">
        <w:rPr>
          <w:b/>
        </w:rPr>
        <w:t>Stream 4: Humanitarian agenda and SDGs</w:t>
      </w:r>
    </w:p>
    <w:p w:rsidR="007B0873" w:rsidRDefault="007B0873" w:rsidP="007B0873">
      <w:pPr>
        <w:spacing w:after="0" w:line="240" w:lineRule="auto"/>
        <w:jc w:val="both"/>
        <w:rPr>
          <w:b/>
        </w:rPr>
      </w:pPr>
      <w:r w:rsidRPr="008F50EC">
        <w:rPr>
          <w:b/>
        </w:rPr>
        <w:t>Lead Agencies:</w:t>
      </w:r>
      <w:r>
        <w:rPr>
          <w:b/>
        </w:rPr>
        <w:t xml:space="preserve"> WFP-OCHA</w:t>
      </w:r>
    </w:p>
    <w:p w:rsidR="007B0873" w:rsidRPr="007B0873" w:rsidRDefault="007B0873" w:rsidP="007B0873">
      <w:pPr>
        <w:spacing w:after="0" w:line="240" w:lineRule="auto"/>
        <w:jc w:val="both"/>
        <w:rPr>
          <w:b/>
          <w:i/>
        </w:rPr>
      </w:pPr>
    </w:p>
    <w:p w:rsidR="007B0873" w:rsidRPr="008F50EC" w:rsidRDefault="007B0873" w:rsidP="007B0873">
      <w:pPr>
        <w:spacing w:after="0" w:line="240" w:lineRule="auto"/>
        <w:jc w:val="both"/>
        <w:rPr>
          <w:b/>
          <w:i/>
        </w:rPr>
      </w:pPr>
      <w:r w:rsidRPr="008F50EC">
        <w:rPr>
          <w:b/>
          <w:i/>
        </w:rPr>
        <w:t>Description</w:t>
      </w:r>
    </w:p>
    <w:p w:rsidR="007B0873" w:rsidRDefault="007B0873" w:rsidP="007B0873">
      <w:pPr>
        <w:spacing w:after="0" w:line="240" w:lineRule="auto"/>
      </w:pPr>
      <w:r w:rsidRPr="00C36EA7">
        <w:t xml:space="preserve">The sobering reality for the most vulnerable women, children and men is a world affected by increasing and ever more complex crisis, and the principles of humanitarian action are increasingly at risk. This is a critical part of the backdrop to the 2015 SDGs and Agenda 2030. Humanitarian action faces increased challenges and complexity that is stretching the global humanitarian assistance community far beyond the traditional immediate emergency response. The world needs greater effectiveness, innovation, coordination, connectedness and coherence of humanitarian response as never before. Evaluation of humanitarian action has a vital contribution to make to achieving Agenda 2030. Building on UNEG/EPE 2014, this stream could </w:t>
      </w:r>
      <w:r>
        <w:t>share experiences on evaluation of humanitarian action, and in particular on</w:t>
      </w:r>
      <w:r w:rsidRPr="00C36EA7">
        <w:t xml:space="preserve">: </w:t>
      </w:r>
      <w:r>
        <w:t xml:space="preserve">(1) </w:t>
      </w:r>
      <w:r w:rsidRPr="00C36EA7">
        <w:t xml:space="preserve"> the humanitarian-development interface and</w:t>
      </w:r>
      <w:r>
        <w:t xml:space="preserve"> </w:t>
      </w:r>
      <w:r w:rsidRPr="00C36EA7">
        <w:t xml:space="preserve">the challenges of assessing SDG progress in humanitarian contexts; and </w:t>
      </w:r>
      <w:r>
        <w:t xml:space="preserve">(2) </w:t>
      </w:r>
      <w:r w:rsidRPr="00C36EA7">
        <w:t xml:space="preserve"> evaluating humanitarian principles. Other issues may also be suggested by interested agencies, and the format will be interactive.</w:t>
      </w:r>
      <w:r>
        <w:t xml:space="preserve"> </w:t>
      </w:r>
    </w:p>
    <w:p w:rsidR="007B0873" w:rsidRDefault="007B0873" w:rsidP="007B0873">
      <w:pPr>
        <w:spacing w:after="0" w:line="240" w:lineRule="auto"/>
        <w:jc w:val="both"/>
      </w:pPr>
    </w:p>
    <w:p w:rsidR="007B0873" w:rsidRDefault="007B0873" w:rsidP="007B0873">
      <w:pPr>
        <w:spacing w:after="0" w:line="240" w:lineRule="auto"/>
        <w:jc w:val="both"/>
      </w:pPr>
    </w:p>
    <w:p w:rsidR="007B0873" w:rsidRDefault="007B0873" w:rsidP="003D6940"/>
    <w:sectPr w:rsidR="007B0873" w:rsidSect="000E013F">
      <w:headerReference w:type="default" r:id="rId11"/>
      <w:footerReference w:type="default" r:id="rId12"/>
      <w:pgSz w:w="15840" w:h="12240" w:orient="landscape"/>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FA2" w:rsidRDefault="00EA4FA2" w:rsidP="00B46241">
      <w:pPr>
        <w:spacing w:after="0" w:line="240" w:lineRule="auto"/>
      </w:pPr>
      <w:r>
        <w:separator/>
      </w:r>
    </w:p>
  </w:endnote>
  <w:endnote w:type="continuationSeparator" w:id="0">
    <w:p w:rsidR="00EA4FA2" w:rsidRDefault="00EA4FA2" w:rsidP="00B46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771496"/>
      <w:docPartObj>
        <w:docPartGallery w:val="Page Numbers (Bottom of Page)"/>
        <w:docPartUnique/>
      </w:docPartObj>
    </w:sdtPr>
    <w:sdtEndPr>
      <w:rPr>
        <w:noProof/>
      </w:rPr>
    </w:sdtEndPr>
    <w:sdtContent>
      <w:p w:rsidR="00B46241" w:rsidRDefault="00B46241">
        <w:pPr>
          <w:pStyle w:val="Footer"/>
          <w:jc w:val="center"/>
        </w:pPr>
        <w:r>
          <w:fldChar w:fldCharType="begin"/>
        </w:r>
        <w:r>
          <w:instrText xml:space="preserve"> PAGE   \* MERGEFORMAT </w:instrText>
        </w:r>
        <w:r>
          <w:fldChar w:fldCharType="separate"/>
        </w:r>
        <w:r w:rsidR="00E10D04">
          <w:rPr>
            <w:noProof/>
          </w:rPr>
          <w:t>5</w:t>
        </w:r>
        <w:r>
          <w:rPr>
            <w:noProof/>
          </w:rPr>
          <w:fldChar w:fldCharType="end"/>
        </w:r>
      </w:p>
    </w:sdtContent>
  </w:sdt>
  <w:p w:rsidR="00B46241" w:rsidRDefault="00B46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FA2" w:rsidRDefault="00EA4FA2" w:rsidP="00B46241">
      <w:pPr>
        <w:spacing w:after="0" w:line="240" w:lineRule="auto"/>
      </w:pPr>
      <w:r>
        <w:separator/>
      </w:r>
    </w:p>
  </w:footnote>
  <w:footnote w:type="continuationSeparator" w:id="0">
    <w:p w:rsidR="00EA4FA2" w:rsidRDefault="00EA4FA2" w:rsidP="00B46241">
      <w:pPr>
        <w:spacing w:after="0" w:line="240" w:lineRule="auto"/>
      </w:pPr>
      <w:r>
        <w:continuationSeparator/>
      </w:r>
    </w:p>
  </w:footnote>
  <w:footnote w:id="1">
    <w:p w:rsidR="007B0873" w:rsidRDefault="007B0873" w:rsidP="007B0873">
      <w:pPr>
        <w:pStyle w:val="FootnoteText"/>
      </w:pPr>
      <w:r>
        <w:rPr>
          <w:rStyle w:val="FootnoteReference"/>
        </w:rPr>
        <w:footnoteRef/>
      </w:r>
      <w:r>
        <w:t xml:space="preserve"> Currently, there are 14 UNEG member agencies based in Geneva, including two observers: ILO; IOM; ITC; JIU (Observer); OHCHR; UNAIDS; UNCTAD; UNECE; UNHCR; UNITAR (observer); WHO; WIPO; WMO; and WTO.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241" w:rsidRPr="00B46241" w:rsidRDefault="00B46241" w:rsidP="00B46241">
    <w:pPr>
      <w:pStyle w:val="Header"/>
      <w:jc w:val="center"/>
      <w:rPr>
        <w:b/>
        <w:sz w:val="28"/>
        <w:szCs w:val="28"/>
      </w:rPr>
    </w:pPr>
    <w:r w:rsidRPr="00B46241">
      <w:rPr>
        <w:b/>
        <w:sz w:val="28"/>
        <w:szCs w:val="28"/>
      </w:rPr>
      <w:t>UNEG EPE 2016</w:t>
    </w:r>
    <w:r w:rsidR="008C6A6B">
      <w:rPr>
        <w:b/>
        <w:sz w:val="28"/>
        <w:szCs w:val="28"/>
      </w:rPr>
      <w:t xml:space="preserve"> Master Agenda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4D8F"/>
    <w:multiLevelType w:val="hybridMultilevel"/>
    <w:tmpl w:val="494077CE"/>
    <w:lvl w:ilvl="0" w:tplc="254C19A0">
      <w:start w:val="19"/>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358D0"/>
    <w:multiLevelType w:val="hybridMultilevel"/>
    <w:tmpl w:val="BD029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E23F45"/>
    <w:multiLevelType w:val="hybridMultilevel"/>
    <w:tmpl w:val="5B7C3ECC"/>
    <w:lvl w:ilvl="0" w:tplc="254C19A0">
      <w:start w:val="1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345A0B"/>
    <w:multiLevelType w:val="hybridMultilevel"/>
    <w:tmpl w:val="8AD804B8"/>
    <w:lvl w:ilvl="0" w:tplc="673CEC8E">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790C11"/>
    <w:multiLevelType w:val="hybridMultilevel"/>
    <w:tmpl w:val="4D46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82004"/>
    <w:multiLevelType w:val="hybridMultilevel"/>
    <w:tmpl w:val="C9487B0E"/>
    <w:lvl w:ilvl="0" w:tplc="08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DC6C77"/>
    <w:multiLevelType w:val="hybridMultilevel"/>
    <w:tmpl w:val="E56CF9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C56106"/>
    <w:multiLevelType w:val="hybridMultilevel"/>
    <w:tmpl w:val="F7DA2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6A0E9D"/>
    <w:multiLevelType w:val="hybridMultilevel"/>
    <w:tmpl w:val="C556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D3D4C"/>
    <w:multiLevelType w:val="hybridMultilevel"/>
    <w:tmpl w:val="828233AA"/>
    <w:lvl w:ilvl="0" w:tplc="254C19A0">
      <w:start w:val="19"/>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31EA0"/>
    <w:multiLevelType w:val="hybridMultilevel"/>
    <w:tmpl w:val="38D4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A0E47"/>
    <w:multiLevelType w:val="hybridMultilevel"/>
    <w:tmpl w:val="9D043220"/>
    <w:lvl w:ilvl="0" w:tplc="E5046E30">
      <w:start w:val="2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F457A9B"/>
    <w:multiLevelType w:val="hybridMultilevel"/>
    <w:tmpl w:val="AD02C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47A4710"/>
    <w:multiLevelType w:val="hybridMultilevel"/>
    <w:tmpl w:val="0746841A"/>
    <w:lvl w:ilvl="0" w:tplc="4CF48892">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4D96AAF"/>
    <w:multiLevelType w:val="hybridMultilevel"/>
    <w:tmpl w:val="F53E1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5563F07"/>
    <w:multiLevelType w:val="hybridMultilevel"/>
    <w:tmpl w:val="6140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EC7CE8"/>
    <w:multiLevelType w:val="hybridMultilevel"/>
    <w:tmpl w:val="5EBE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0A214B"/>
    <w:multiLevelType w:val="hybridMultilevel"/>
    <w:tmpl w:val="3C329C4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8C2ACA"/>
    <w:multiLevelType w:val="hybridMultilevel"/>
    <w:tmpl w:val="9FE23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4180C9B"/>
    <w:multiLevelType w:val="hybridMultilevel"/>
    <w:tmpl w:val="6D9C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331010"/>
    <w:multiLevelType w:val="hybridMultilevel"/>
    <w:tmpl w:val="35A6A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1315DC"/>
    <w:multiLevelType w:val="hybridMultilevel"/>
    <w:tmpl w:val="06EC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8"/>
  </w:num>
  <w:num w:numId="4">
    <w:abstractNumId w:val="16"/>
  </w:num>
  <w:num w:numId="5">
    <w:abstractNumId w:val="15"/>
  </w:num>
  <w:num w:numId="6">
    <w:abstractNumId w:val="10"/>
  </w:num>
  <w:num w:numId="7">
    <w:abstractNumId w:val="6"/>
  </w:num>
  <w:num w:numId="8">
    <w:abstractNumId w:val="18"/>
  </w:num>
  <w:num w:numId="9">
    <w:abstractNumId w:val="14"/>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3"/>
  </w:num>
  <w:num w:numId="12">
    <w:abstractNumId w:val="2"/>
  </w:num>
  <w:num w:numId="13">
    <w:abstractNumId w:val="2"/>
  </w:num>
  <w:num w:numId="14">
    <w:abstractNumId w:val="0"/>
  </w:num>
  <w:num w:numId="15">
    <w:abstractNumId w:val="17"/>
  </w:num>
  <w:num w:numId="16">
    <w:abstractNumId w:val="5"/>
    <w:lvlOverride w:ilvl="0">
      <w:startOverride w:val="1"/>
    </w:lvlOverride>
    <w:lvlOverride w:ilvl="1"/>
    <w:lvlOverride w:ilvl="2"/>
    <w:lvlOverride w:ilvl="3"/>
    <w:lvlOverride w:ilvl="4"/>
    <w:lvlOverride w:ilvl="5"/>
    <w:lvlOverride w:ilvl="6"/>
    <w:lvlOverride w:ilvl="7"/>
    <w:lvlOverride w:ilvl="8"/>
  </w:num>
  <w:num w:numId="17">
    <w:abstractNumId w:val="5"/>
  </w:num>
  <w:num w:numId="18">
    <w:abstractNumId w:val="12"/>
  </w:num>
  <w:num w:numId="19">
    <w:abstractNumId w:val="1"/>
  </w:num>
  <w:num w:numId="20">
    <w:abstractNumId w:val="9"/>
  </w:num>
  <w:num w:numId="21">
    <w:abstractNumId w:val="4"/>
  </w:num>
  <w:num w:numId="22">
    <w:abstractNumId w:val="19"/>
  </w:num>
  <w:num w:numId="23">
    <w:abstractNumId w:val="7"/>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B4"/>
    <w:rsid w:val="00056AF4"/>
    <w:rsid w:val="0006642F"/>
    <w:rsid w:val="00070261"/>
    <w:rsid w:val="000A1150"/>
    <w:rsid w:val="000C7880"/>
    <w:rsid w:val="000E013F"/>
    <w:rsid w:val="00113FD4"/>
    <w:rsid w:val="0012044A"/>
    <w:rsid w:val="001574C4"/>
    <w:rsid w:val="001646B0"/>
    <w:rsid w:val="001A020B"/>
    <w:rsid w:val="001C20CF"/>
    <w:rsid w:val="0021365C"/>
    <w:rsid w:val="00231E15"/>
    <w:rsid w:val="00240B8F"/>
    <w:rsid w:val="002928F4"/>
    <w:rsid w:val="002B1A28"/>
    <w:rsid w:val="002E0B64"/>
    <w:rsid w:val="002F336A"/>
    <w:rsid w:val="0030787D"/>
    <w:rsid w:val="003225D4"/>
    <w:rsid w:val="00337241"/>
    <w:rsid w:val="00392BEA"/>
    <w:rsid w:val="00393889"/>
    <w:rsid w:val="003A10DA"/>
    <w:rsid w:val="003B52A1"/>
    <w:rsid w:val="003D6940"/>
    <w:rsid w:val="00474FA1"/>
    <w:rsid w:val="00475DCF"/>
    <w:rsid w:val="004765C3"/>
    <w:rsid w:val="004A11F4"/>
    <w:rsid w:val="00507CB0"/>
    <w:rsid w:val="00517ED3"/>
    <w:rsid w:val="00525143"/>
    <w:rsid w:val="0055367D"/>
    <w:rsid w:val="00584DB1"/>
    <w:rsid w:val="005A0D22"/>
    <w:rsid w:val="00654009"/>
    <w:rsid w:val="00686498"/>
    <w:rsid w:val="007305A3"/>
    <w:rsid w:val="00735651"/>
    <w:rsid w:val="007435B4"/>
    <w:rsid w:val="00753BFD"/>
    <w:rsid w:val="00761E0D"/>
    <w:rsid w:val="007B0873"/>
    <w:rsid w:val="007C4949"/>
    <w:rsid w:val="007D7286"/>
    <w:rsid w:val="007E1F6A"/>
    <w:rsid w:val="0081775D"/>
    <w:rsid w:val="00837BFF"/>
    <w:rsid w:val="00842EBC"/>
    <w:rsid w:val="00857DEF"/>
    <w:rsid w:val="008C6A6B"/>
    <w:rsid w:val="009253B2"/>
    <w:rsid w:val="0094247A"/>
    <w:rsid w:val="00961B83"/>
    <w:rsid w:val="00AC4118"/>
    <w:rsid w:val="00AE29AB"/>
    <w:rsid w:val="00B207D2"/>
    <w:rsid w:val="00B46241"/>
    <w:rsid w:val="00B90C3D"/>
    <w:rsid w:val="00BA18F6"/>
    <w:rsid w:val="00BD445E"/>
    <w:rsid w:val="00BE6D61"/>
    <w:rsid w:val="00C0302F"/>
    <w:rsid w:val="00C15A48"/>
    <w:rsid w:val="00C17B63"/>
    <w:rsid w:val="00C36B26"/>
    <w:rsid w:val="00C61F47"/>
    <w:rsid w:val="00CC5F83"/>
    <w:rsid w:val="00D039C3"/>
    <w:rsid w:val="00D047B9"/>
    <w:rsid w:val="00D24F22"/>
    <w:rsid w:val="00D92457"/>
    <w:rsid w:val="00DD1FAE"/>
    <w:rsid w:val="00E075CB"/>
    <w:rsid w:val="00E10D04"/>
    <w:rsid w:val="00E60151"/>
    <w:rsid w:val="00E7746A"/>
    <w:rsid w:val="00E93730"/>
    <w:rsid w:val="00EA4FA2"/>
    <w:rsid w:val="00EB2C6A"/>
    <w:rsid w:val="00EC219D"/>
    <w:rsid w:val="00EF3464"/>
    <w:rsid w:val="00F06356"/>
    <w:rsid w:val="00F27B9A"/>
    <w:rsid w:val="00F72C34"/>
    <w:rsid w:val="00F840FA"/>
    <w:rsid w:val="00F93F7A"/>
    <w:rsid w:val="00FB5CC2"/>
    <w:rsid w:val="00FC78ED"/>
    <w:rsid w:val="00FF6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2387BD-920D-46CD-8410-EE632CF8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35B4"/>
    <w:rPr>
      <w:sz w:val="16"/>
      <w:szCs w:val="16"/>
    </w:rPr>
  </w:style>
  <w:style w:type="paragraph" w:styleId="CommentText">
    <w:name w:val="annotation text"/>
    <w:basedOn w:val="Normal"/>
    <w:link w:val="CommentTextChar"/>
    <w:uiPriority w:val="99"/>
    <w:semiHidden/>
    <w:unhideWhenUsed/>
    <w:rsid w:val="007435B4"/>
    <w:pPr>
      <w:spacing w:line="240" w:lineRule="auto"/>
    </w:pPr>
    <w:rPr>
      <w:sz w:val="20"/>
      <w:szCs w:val="20"/>
    </w:rPr>
  </w:style>
  <w:style w:type="character" w:customStyle="1" w:styleId="CommentTextChar">
    <w:name w:val="Comment Text Char"/>
    <w:basedOn w:val="DefaultParagraphFont"/>
    <w:link w:val="CommentText"/>
    <w:uiPriority w:val="99"/>
    <w:semiHidden/>
    <w:rsid w:val="007435B4"/>
    <w:rPr>
      <w:sz w:val="20"/>
      <w:szCs w:val="20"/>
    </w:rPr>
  </w:style>
  <w:style w:type="paragraph" w:styleId="ListParagraph">
    <w:name w:val="List Paragraph"/>
    <w:basedOn w:val="Normal"/>
    <w:uiPriority w:val="34"/>
    <w:qFormat/>
    <w:rsid w:val="007435B4"/>
    <w:pPr>
      <w:ind w:left="720"/>
      <w:contextualSpacing/>
    </w:pPr>
    <w:rPr>
      <w:lang w:val="en-GB"/>
    </w:rPr>
  </w:style>
  <w:style w:type="paragraph" w:styleId="BalloonText">
    <w:name w:val="Balloon Text"/>
    <w:basedOn w:val="Normal"/>
    <w:link w:val="BalloonTextChar"/>
    <w:uiPriority w:val="99"/>
    <w:semiHidden/>
    <w:unhideWhenUsed/>
    <w:rsid w:val="00743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5B4"/>
    <w:rPr>
      <w:rFonts w:ascii="Segoe UI" w:hAnsi="Segoe UI" w:cs="Segoe UI"/>
      <w:sz w:val="18"/>
      <w:szCs w:val="18"/>
    </w:rPr>
  </w:style>
  <w:style w:type="paragraph" w:styleId="Header">
    <w:name w:val="header"/>
    <w:basedOn w:val="Normal"/>
    <w:link w:val="HeaderChar"/>
    <w:uiPriority w:val="99"/>
    <w:unhideWhenUsed/>
    <w:rsid w:val="00B46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241"/>
  </w:style>
  <w:style w:type="paragraph" w:styleId="Footer">
    <w:name w:val="footer"/>
    <w:basedOn w:val="Normal"/>
    <w:link w:val="FooterChar"/>
    <w:uiPriority w:val="99"/>
    <w:unhideWhenUsed/>
    <w:rsid w:val="00B46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241"/>
  </w:style>
  <w:style w:type="paragraph" w:styleId="CommentSubject">
    <w:name w:val="annotation subject"/>
    <w:basedOn w:val="CommentText"/>
    <w:next w:val="CommentText"/>
    <w:link w:val="CommentSubjectChar"/>
    <w:uiPriority w:val="99"/>
    <w:semiHidden/>
    <w:unhideWhenUsed/>
    <w:rsid w:val="00337241"/>
    <w:rPr>
      <w:b/>
      <w:bCs/>
    </w:rPr>
  </w:style>
  <w:style w:type="character" w:customStyle="1" w:styleId="CommentSubjectChar">
    <w:name w:val="Comment Subject Char"/>
    <w:basedOn w:val="CommentTextChar"/>
    <w:link w:val="CommentSubject"/>
    <w:uiPriority w:val="99"/>
    <w:semiHidden/>
    <w:rsid w:val="00337241"/>
    <w:rPr>
      <w:b/>
      <w:bCs/>
      <w:sz w:val="20"/>
      <w:szCs w:val="20"/>
    </w:rPr>
  </w:style>
  <w:style w:type="paragraph" w:styleId="EndnoteText">
    <w:name w:val="endnote text"/>
    <w:basedOn w:val="Normal"/>
    <w:link w:val="EndnoteTextChar"/>
    <w:uiPriority w:val="99"/>
    <w:semiHidden/>
    <w:unhideWhenUsed/>
    <w:rsid w:val="00C36B26"/>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C36B26"/>
    <w:rPr>
      <w:sz w:val="20"/>
      <w:szCs w:val="20"/>
      <w:lang w:val="en-GB"/>
    </w:rPr>
  </w:style>
  <w:style w:type="character" w:styleId="EndnoteReference">
    <w:name w:val="endnote reference"/>
    <w:basedOn w:val="DefaultParagraphFont"/>
    <w:uiPriority w:val="99"/>
    <w:semiHidden/>
    <w:unhideWhenUsed/>
    <w:rsid w:val="00C36B26"/>
    <w:rPr>
      <w:vertAlign w:val="superscript"/>
    </w:rPr>
  </w:style>
  <w:style w:type="character" w:styleId="Hyperlink">
    <w:name w:val="Hyperlink"/>
    <w:basedOn w:val="DefaultParagraphFont"/>
    <w:uiPriority w:val="99"/>
    <w:semiHidden/>
    <w:unhideWhenUsed/>
    <w:rsid w:val="00D92457"/>
    <w:rPr>
      <w:color w:val="0563C1"/>
      <w:u w:val="single"/>
    </w:rPr>
  </w:style>
  <w:style w:type="paragraph" w:styleId="FootnoteText">
    <w:name w:val="footnote text"/>
    <w:basedOn w:val="Normal"/>
    <w:link w:val="FootnoteTextChar"/>
    <w:uiPriority w:val="99"/>
    <w:semiHidden/>
    <w:unhideWhenUsed/>
    <w:rsid w:val="007B0873"/>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semiHidden/>
    <w:rsid w:val="007B0873"/>
    <w:rPr>
      <w:rFonts w:eastAsiaTheme="minorEastAsia"/>
      <w:sz w:val="20"/>
      <w:szCs w:val="20"/>
      <w:lang w:eastAsia="ja-JP"/>
    </w:rPr>
  </w:style>
  <w:style w:type="character" w:styleId="FootnoteReference">
    <w:name w:val="footnote reference"/>
    <w:basedOn w:val="DefaultParagraphFont"/>
    <w:uiPriority w:val="99"/>
    <w:semiHidden/>
    <w:unhideWhenUsed/>
    <w:rsid w:val="007B0873"/>
    <w:rPr>
      <w:vertAlign w:val="superscript"/>
    </w:rPr>
  </w:style>
  <w:style w:type="paragraph" w:customStyle="1" w:styleId="Default">
    <w:name w:val="Default"/>
    <w:rsid w:val="007B0873"/>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4611">
      <w:bodyDiv w:val="1"/>
      <w:marLeft w:val="0"/>
      <w:marRight w:val="0"/>
      <w:marTop w:val="0"/>
      <w:marBottom w:val="0"/>
      <w:divBdr>
        <w:top w:val="none" w:sz="0" w:space="0" w:color="auto"/>
        <w:left w:val="none" w:sz="0" w:space="0" w:color="auto"/>
        <w:bottom w:val="none" w:sz="0" w:space="0" w:color="auto"/>
        <w:right w:val="none" w:sz="0" w:space="0" w:color="auto"/>
      </w:divBdr>
    </w:div>
    <w:div w:id="115099179">
      <w:bodyDiv w:val="1"/>
      <w:marLeft w:val="0"/>
      <w:marRight w:val="0"/>
      <w:marTop w:val="0"/>
      <w:marBottom w:val="0"/>
      <w:divBdr>
        <w:top w:val="none" w:sz="0" w:space="0" w:color="auto"/>
        <w:left w:val="none" w:sz="0" w:space="0" w:color="auto"/>
        <w:bottom w:val="none" w:sz="0" w:space="0" w:color="auto"/>
        <w:right w:val="none" w:sz="0" w:space="0" w:color="auto"/>
      </w:divBdr>
    </w:div>
    <w:div w:id="275407070">
      <w:bodyDiv w:val="1"/>
      <w:marLeft w:val="0"/>
      <w:marRight w:val="0"/>
      <w:marTop w:val="0"/>
      <w:marBottom w:val="0"/>
      <w:divBdr>
        <w:top w:val="none" w:sz="0" w:space="0" w:color="auto"/>
        <w:left w:val="none" w:sz="0" w:space="0" w:color="auto"/>
        <w:bottom w:val="none" w:sz="0" w:space="0" w:color="auto"/>
        <w:right w:val="none" w:sz="0" w:space="0" w:color="auto"/>
      </w:divBdr>
    </w:div>
    <w:div w:id="291400731">
      <w:bodyDiv w:val="1"/>
      <w:marLeft w:val="0"/>
      <w:marRight w:val="0"/>
      <w:marTop w:val="0"/>
      <w:marBottom w:val="0"/>
      <w:divBdr>
        <w:top w:val="none" w:sz="0" w:space="0" w:color="auto"/>
        <w:left w:val="none" w:sz="0" w:space="0" w:color="auto"/>
        <w:bottom w:val="none" w:sz="0" w:space="0" w:color="auto"/>
        <w:right w:val="none" w:sz="0" w:space="0" w:color="auto"/>
      </w:divBdr>
    </w:div>
    <w:div w:id="509830025">
      <w:bodyDiv w:val="1"/>
      <w:marLeft w:val="0"/>
      <w:marRight w:val="0"/>
      <w:marTop w:val="0"/>
      <w:marBottom w:val="0"/>
      <w:divBdr>
        <w:top w:val="none" w:sz="0" w:space="0" w:color="auto"/>
        <w:left w:val="none" w:sz="0" w:space="0" w:color="auto"/>
        <w:bottom w:val="none" w:sz="0" w:space="0" w:color="auto"/>
        <w:right w:val="none" w:sz="0" w:space="0" w:color="auto"/>
      </w:divBdr>
    </w:div>
    <w:div w:id="519005785">
      <w:bodyDiv w:val="1"/>
      <w:marLeft w:val="0"/>
      <w:marRight w:val="0"/>
      <w:marTop w:val="0"/>
      <w:marBottom w:val="0"/>
      <w:divBdr>
        <w:top w:val="none" w:sz="0" w:space="0" w:color="auto"/>
        <w:left w:val="none" w:sz="0" w:space="0" w:color="auto"/>
        <w:bottom w:val="none" w:sz="0" w:space="0" w:color="auto"/>
        <w:right w:val="none" w:sz="0" w:space="0" w:color="auto"/>
      </w:divBdr>
    </w:div>
    <w:div w:id="629750467">
      <w:bodyDiv w:val="1"/>
      <w:marLeft w:val="0"/>
      <w:marRight w:val="0"/>
      <w:marTop w:val="0"/>
      <w:marBottom w:val="0"/>
      <w:divBdr>
        <w:top w:val="none" w:sz="0" w:space="0" w:color="auto"/>
        <w:left w:val="none" w:sz="0" w:space="0" w:color="auto"/>
        <w:bottom w:val="none" w:sz="0" w:space="0" w:color="auto"/>
        <w:right w:val="none" w:sz="0" w:space="0" w:color="auto"/>
      </w:divBdr>
    </w:div>
    <w:div w:id="765538893">
      <w:bodyDiv w:val="1"/>
      <w:marLeft w:val="0"/>
      <w:marRight w:val="0"/>
      <w:marTop w:val="0"/>
      <w:marBottom w:val="0"/>
      <w:divBdr>
        <w:top w:val="none" w:sz="0" w:space="0" w:color="auto"/>
        <w:left w:val="none" w:sz="0" w:space="0" w:color="auto"/>
        <w:bottom w:val="none" w:sz="0" w:space="0" w:color="auto"/>
        <w:right w:val="none" w:sz="0" w:space="0" w:color="auto"/>
      </w:divBdr>
    </w:div>
    <w:div w:id="836923367">
      <w:bodyDiv w:val="1"/>
      <w:marLeft w:val="0"/>
      <w:marRight w:val="0"/>
      <w:marTop w:val="0"/>
      <w:marBottom w:val="0"/>
      <w:divBdr>
        <w:top w:val="none" w:sz="0" w:space="0" w:color="auto"/>
        <w:left w:val="none" w:sz="0" w:space="0" w:color="auto"/>
        <w:bottom w:val="none" w:sz="0" w:space="0" w:color="auto"/>
        <w:right w:val="none" w:sz="0" w:space="0" w:color="auto"/>
      </w:divBdr>
    </w:div>
    <w:div w:id="867793940">
      <w:bodyDiv w:val="1"/>
      <w:marLeft w:val="0"/>
      <w:marRight w:val="0"/>
      <w:marTop w:val="0"/>
      <w:marBottom w:val="0"/>
      <w:divBdr>
        <w:top w:val="none" w:sz="0" w:space="0" w:color="auto"/>
        <w:left w:val="none" w:sz="0" w:space="0" w:color="auto"/>
        <w:bottom w:val="none" w:sz="0" w:space="0" w:color="auto"/>
        <w:right w:val="none" w:sz="0" w:space="0" w:color="auto"/>
      </w:divBdr>
    </w:div>
    <w:div w:id="1220366032">
      <w:bodyDiv w:val="1"/>
      <w:marLeft w:val="0"/>
      <w:marRight w:val="0"/>
      <w:marTop w:val="0"/>
      <w:marBottom w:val="0"/>
      <w:divBdr>
        <w:top w:val="none" w:sz="0" w:space="0" w:color="auto"/>
        <w:left w:val="none" w:sz="0" w:space="0" w:color="auto"/>
        <w:bottom w:val="none" w:sz="0" w:space="0" w:color="auto"/>
        <w:right w:val="none" w:sz="0" w:space="0" w:color="auto"/>
      </w:divBdr>
    </w:div>
    <w:div w:id="1343776374">
      <w:bodyDiv w:val="1"/>
      <w:marLeft w:val="0"/>
      <w:marRight w:val="0"/>
      <w:marTop w:val="0"/>
      <w:marBottom w:val="0"/>
      <w:divBdr>
        <w:top w:val="none" w:sz="0" w:space="0" w:color="auto"/>
        <w:left w:val="none" w:sz="0" w:space="0" w:color="auto"/>
        <w:bottom w:val="none" w:sz="0" w:space="0" w:color="auto"/>
        <w:right w:val="none" w:sz="0" w:space="0" w:color="auto"/>
      </w:divBdr>
    </w:div>
    <w:div w:id="1571846908">
      <w:bodyDiv w:val="1"/>
      <w:marLeft w:val="0"/>
      <w:marRight w:val="0"/>
      <w:marTop w:val="0"/>
      <w:marBottom w:val="0"/>
      <w:divBdr>
        <w:top w:val="none" w:sz="0" w:space="0" w:color="auto"/>
        <w:left w:val="none" w:sz="0" w:space="0" w:color="auto"/>
        <w:bottom w:val="none" w:sz="0" w:space="0" w:color="auto"/>
        <w:right w:val="none" w:sz="0" w:space="0" w:color="auto"/>
      </w:divBdr>
    </w:div>
    <w:div w:id="1601525214">
      <w:bodyDiv w:val="1"/>
      <w:marLeft w:val="0"/>
      <w:marRight w:val="0"/>
      <w:marTop w:val="0"/>
      <w:marBottom w:val="0"/>
      <w:divBdr>
        <w:top w:val="none" w:sz="0" w:space="0" w:color="auto"/>
        <w:left w:val="none" w:sz="0" w:space="0" w:color="auto"/>
        <w:bottom w:val="none" w:sz="0" w:space="0" w:color="auto"/>
        <w:right w:val="none" w:sz="0" w:space="0" w:color="auto"/>
      </w:divBdr>
    </w:div>
    <w:div w:id="1746607841">
      <w:bodyDiv w:val="1"/>
      <w:marLeft w:val="0"/>
      <w:marRight w:val="0"/>
      <w:marTop w:val="0"/>
      <w:marBottom w:val="0"/>
      <w:divBdr>
        <w:top w:val="none" w:sz="0" w:space="0" w:color="auto"/>
        <w:left w:val="none" w:sz="0" w:space="0" w:color="auto"/>
        <w:bottom w:val="none" w:sz="0" w:space="0" w:color="auto"/>
        <w:right w:val="none" w:sz="0" w:space="0" w:color="auto"/>
      </w:divBdr>
    </w:div>
    <w:div w:id="1754858946">
      <w:bodyDiv w:val="1"/>
      <w:marLeft w:val="0"/>
      <w:marRight w:val="0"/>
      <w:marTop w:val="0"/>
      <w:marBottom w:val="0"/>
      <w:divBdr>
        <w:top w:val="none" w:sz="0" w:space="0" w:color="auto"/>
        <w:left w:val="none" w:sz="0" w:space="0" w:color="auto"/>
        <w:bottom w:val="none" w:sz="0" w:space="0" w:color="auto"/>
        <w:right w:val="none" w:sz="0" w:space="0" w:color="auto"/>
      </w:divBdr>
    </w:div>
    <w:div w:id="1808081011">
      <w:bodyDiv w:val="1"/>
      <w:marLeft w:val="0"/>
      <w:marRight w:val="0"/>
      <w:marTop w:val="0"/>
      <w:marBottom w:val="0"/>
      <w:divBdr>
        <w:top w:val="none" w:sz="0" w:space="0" w:color="auto"/>
        <w:left w:val="none" w:sz="0" w:space="0" w:color="auto"/>
        <w:bottom w:val="none" w:sz="0" w:space="0" w:color="auto"/>
        <w:right w:val="none" w:sz="0" w:space="0" w:color="auto"/>
      </w:divBdr>
    </w:div>
    <w:div w:id="185553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valuation.org/document/download/25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unevaluation.org/document/download/25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1776D-9309-4DBB-AD58-EE0305B4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2258</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Florencia Tateossian</dc:creator>
  <cp:lastModifiedBy>Jin Zhang</cp:lastModifiedBy>
  <cp:revision>2</cp:revision>
  <cp:lastPrinted>2016-02-10T15:09:00Z</cp:lastPrinted>
  <dcterms:created xsi:type="dcterms:W3CDTF">2016-05-04T21:57:00Z</dcterms:created>
  <dcterms:modified xsi:type="dcterms:W3CDTF">2016-05-04T21:57:00Z</dcterms:modified>
</cp:coreProperties>
</file>